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DD" w:rsidRDefault="00952268" w:rsidP="004A5206">
      <w:pPr>
        <w:pStyle w:val="3"/>
        <w:spacing w:line="360" w:lineRule="auto"/>
        <w:rPr>
          <w:rFonts w:cs="David"/>
          <w:spacing w:val="10"/>
          <w:u w:val="none"/>
        </w:rPr>
      </w:pPr>
      <w:r>
        <w:rPr>
          <w:rFonts w:cs="David" w:hint="cs"/>
          <w:spacing w:val="10"/>
          <w:u w:val="none"/>
          <w:rtl/>
        </w:rPr>
        <w:t>בבית הדין האזורי לעבודה</w:t>
      </w:r>
      <w:r>
        <w:rPr>
          <w:rFonts w:cs="David" w:hint="cs"/>
          <w:spacing w:val="10"/>
          <w:u w:val="none"/>
          <w:rtl/>
        </w:rPr>
        <w:tab/>
      </w:r>
      <w:r>
        <w:rPr>
          <w:rFonts w:cs="David" w:hint="cs"/>
          <w:spacing w:val="10"/>
          <w:u w:val="none"/>
          <w:rtl/>
        </w:rPr>
        <w:tab/>
      </w:r>
      <w:r>
        <w:rPr>
          <w:rFonts w:cs="David" w:hint="cs"/>
          <w:spacing w:val="10"/>
          <w:u w:val="none"/>
          <w:rtl/>
        </w:rPr>
        <w:tab/>
      </w:r>
      <w:r>
        <w:rPr>
          <w:rFonts w:cs="David" w:hint="cs"/>
          <w:spacing w:val="10"/>
          <w:u w:val="none"/>
          <w:rtl/>
        </w:rPr>
        <w:tab/>
      </w:r>
      <w:r>
        <w:rPr>
          <w:rFonts w:cs="David" w:hint="cs"/>
          <w:spacing w:val="10"/>
          <w:u w:val="none"/>
          <w:rtl/>
        </w:rPr>
        <w:tab/>
        <w:t>סע"ש</w:t>
      </w:r>
      <w:r>
        <w:rPr>
          <w:rFonts w:cs="David" w:hint="cs"/>
          <w:spacing w:val="10"/>
          <w:u w:val="none"/>
          <w:rtl/>
        </w:rPr>
        <w:tab/>
      </w:r>
      <w:r w:rsidR="004A5206">
        <w:rPr>
          <w:rFonts w:cs="David" w:hint="cs"/>
          <w:spacing w:val="10"/>
          <w:u w:val="none"/>
          <w:rtl/>
        </w:rPr>
        <w:t>31508</w:t>
      </w:r>
      <w:r>
        <w:rPr>
          <w:rFonts w:cs="David" w:hint="cs"/>
          <w:spacing w:val="10"/>
          <w:u w:val="none"/>
          <w:rtl/>
        </w:rPr>
        <w:t>-</w:t>
      </w:r>
      <w:r w:rsidR="004A5206">
        <w:rPr>
          <w:rFonts w:cs="David" w:hint="cs"/>
          <w:spacing w:val="10"/>
          <w:u w:val="none"/>
          <w:rtl/>
        </w:rPr>
        <w:t>01</w:t>
      </w:r>
      <w:r>
        <w:rPr>
          <w:rFonts w:cs="David" w:hint="cs"/>
          <w:spacing w:val="10"/>
          <w:u w:val="none"/>
          <w:rtl/>
        </w:rPr>
        <w:t>-</w:t>
      </w:r>
      <w:r w:rsidR="004A5206">
        <w:rPr>
          <w:rFonts w:cs="David" w:hint="cs"/>
          <w:spacing w:val="10"/>
          <w:u w:val="none"/>
          <w:rtl/>
        </w:rPr>
        <w:t>19</w:t>
      </w:r>
    </w:p>
    <w:p w:rsidR="00B50FDD" w:rsidRDefault="00952268">
      <w:pPr>
        <w:pStyle w:val="3"/>
        <w:spacing w:line="360" w:lineRule="auto"/>
        <w:rPr>
          <w:rFonts w:cs="David" w:hint="cs"/>
          <w:spacing w:val="10"/>
          <w:u w:val="none"/>
          <w:rtl/>
        </w:rPr>
      </w:pPr>
      <w:r>
        <w:rPr>
          <w:rFonts w:cs="David" w:hint="cs"/>
          <w:spacing w:val="10"/>
          <w:rtl/>
        </w:rPr>
        <w:t xml:space="preserve">תל – אביב יפו </w:t>
      </w:r>
    </w:p>
    <w:p w:rsidR="006D5205" w:rsidRPr="006D5205" w:rsidRDefault="006D5205" w:rsidP="006D5205">
      <w:pPr>
        <w:rPr>
          <w:rtl/>
        </w:rPr>
      </w:pPr>
    </w:p>
    <w:p w:rsidR="00B50FDD" w:rsidRDefault="00B50FDD">
      <w:pPr>
        <w:tabs>
          <w:tab w:val="left" w:pos="720"/>
          <w:tab w:val="left" w:pos="1440"/>
          <w:tab w:val="left" w:pos="2160"/>
          <w:tab w:val="left" w:pos="2880"/>
          <w:tab w:val="left" w:pos="3600"/>
          <w:tab w:val="left" w:pos="4638"/>
        </w:tabs>
        <w:rPr>
          <w:rFonts w:cs="David"/>
          <w:b/>
          <w:bCs/>
          <w:u w:val="single"/>
          <w:rtl/>
        </w:rPr>
      </w:pPr>
    </w:p>
    <w:p w:rsidR="00B50FDD" w:rsidRDefault="00952268" w:rsidP="006D5205">
      <w:pPr>
        <w:tabs>
          <w:tab w:val="left" w:pos="720"/>
          <w:tab w:val="left" w:pos="1440"/>
          <w:tab w:val="left" w:pos="2160"/>
          <w:tab w:val="left" w:pos="2880"/>
          <w:tab w:val="left" w:pos="3600"/>
          <w:tab w:val="left" w:pos="4638"/>
        </w:tabs>
        <w:rPr>
          <w:rFonts w:cs="David"/>
          <w:b/>
          <w:bCs/>
          <w:sz w:val="28"/>
          <w:szCs w:val="28"/>
          <w:rtl/>
        </w:rPr>
      </w:pPr>
      <w:r>
        <w:rPr>
          <w:rFonts w:cs="David" w:hint="cs"/>
          <w:b/>
          <w:bCs/>
          <w:u w:val="single"/>
          <w:rtl/>
        </w:rPr>
        <w:t>התובע</w:t>
      </w:r>
      <w:r>
        <w:rPr>
          <w:rFonts w:cs="David" w:hint="cs"/>
          <w:b/>
          <w:bCs/>
          <w:rtl/>
        </w:rPr>
        <w:t>:</w:t>
      </w:r>
      <w:r>
        <w:rPr>
          <w:rFonts w:cs="David" w:hint="cs"/>
          <w:b/>
          <w:bCs/>
          <w:rtl/>
        </w:rPr>
        <w:tab/>
      </w:r>
      <w:r w:rsidR="00445D4A">
        <w:rPr>
          <w:rFonts w:cs="David" w:hint="cs"/>
          <w:b/>
          <w:bCs/>
          <w:rtl/>
        </w:rPr>
        <w:tab/>
      </w:r>
      <w:r w:rsidR="006D5205">
        <w:rPr>
          <w:rFonts w:cs="David" w:hint="cs"/>
          <w:b/>
          <w:bCs/>
          <w:sz w:val="28"/>
          <w:szCs w:val="28"/>
          <w:rtl/>
        </w:rPr>
        <w:t>אבי שלום</w:t>
      </w:r>
      <w:r w:rsidRPr="00BA6062">
        <w:rPr>
          <w:rFonts w:cs="David" w:hint="cs"/>
          <w:b/>
          <w:bCs/>
          <w:sz w:val="28"/>
          <w:szCs w:val="28"/>
          <w:rtl/>
        </w:rPr>
        <w:t xml:space="preserve"> (ת"ז </w:t>
      </w:r>
      <w:r w:rsidR="006D5205">
        <w:rPr>
          <w:rFonts w:cs="David" w:hint="cs"/>
          <w:b/>
          <w:bCs/>
          <w:sz w:val="28"/>
          <w:szCs w:val="28"/>
          <w:rtl/>
        </w:rPr>
        <w:t>123456789</w:t>
      </w:r>
      <w:r w:rsidRPr="00BA6062">
        <w:rPr>
          <w:rFonts w:cs="David" w:hint="cs"/>
          <w:b/>
          <w:bCs/>
          <w:sz w:val="28"/>
          <w:szCs w:val="28"/>
          <w:rtl/>
        </w:rPr>
        <w:t>)</w:t>
      </w:r>
    </w:p>
    <w:p w:rsidR="00B50FDD" w:rsidRDefault="00B50FDD">
      <w:pPr>
        <w:tabs>
          <w:tab w:val="left" w:pos="720"/>
          <w:tab w:val="left" w:pos="1440"/>
          <w:tab w:val="left" w:pos="2160"/>
          <w:tab w:val="left" w:pos="2880"/>
          <w:tab w:val="left" w:pos="3600"/>
          <w:tab w:val="left" w:pos="4638"/>
        </w:tabs>
        <w:rPr>
          <w:rFonts w:cs="David"/>
          <w:b/>
          <w:bCs/>
          <w:sz w:val="28"/>
          <w:szCs w:val="28"/>
          <w:rtl/>
        </w:rPr>
      </w:pPr>
    </w:p>
    <w:p w:rsidR="006D5205" w:rsidRDefault="00952268" w:rsidP="006D5205">
      <w:pPr>
        <w:spacing w:line="360" w:lineRule="auto"/>
        <w:ind w:left="720" w:firstLine="720"/>
        <w:rPr>
          <w:rFonts w:cs="David"/>
        </w:rPr>
      </w:pPr>
      <w:r>
        <w:rPr>
          <w:rFonts w:cs="David" w:hint="cs"/>
          <w:rtl/>
        </w:rPr>
        <w:t xml:space="preserve">באמצעות ב"כ עו"ד </w:t>
      </w:r>
      <w:r w:rsidR="004A5206">
        <w:rPr>
          <w:rFonts w:cs="David" w:hint="cs"/>
          <w:rtl/>
        </w:rPr>
        <w:t>א</w:t>
      </w:r>
      <w:r w:rsidR="006D5205">
        <w:rPr>
          <w:rFonts w:cs="David" w:hint="cs"/>
          <w:rtl/>
        </w:rPr>
        <w:t>. כנען</w:t>
      </w:r>
    </w:p>
    <w:p w:rsidR="00B50FDD" w:rsidRDefault="00952268" w:rsidP="006D5205">
      <w:pPr>
        <w:spacing w:line="360" w:lineRule="auto"/>
        <w:ind w:left="720" w:firstLine="720"/>
        <w:rPr>
          <w:rFonts w:cs="David"/>
          <w:rtl/>
        </w:rPr>
      </w:pPr>
      <w:r>
        <w:rPr>
          <w:rFonts w:cs="David" w:hint="cs"/>
          <w:rtl/>
        </w:rPr>
        <w:t xml:space="preserve">מרחוב </w:t>
      </w:r>
      <w:r w:rsidR="004A5206">
        <w:rPr>
          <w:rFonts w:cs="David" w:hint="cs"/>
          <w:rtl/>
        </w:rPr>
        <w:t xml:space="preserve">רוטשילד </w:t>
      </w:r>
      <w:r w:rsidR="006D5205">
        <w:rPr>
          <w:rFonts w:cs="David" w:hint="cs"/>
          <w:rtl/>
        </w:rPr>
        <w:t>200</w:t>
      </w:r>
      <w:r w:rsidR="004A5206">
        <w:rPr>
          <w:rFonts w:cs="David" w:hint="cs"/>
          <w:rtl/>
        </w:rPr>
        <w:t xml:space="preserve">, </w:t>
      </w:r>
      <w:r w:rsidR="006D5205">
        <w:rPr>
          <w:rFonts w:cs="David" w:hint="cs"/>
          <w:rtl/>
        </w:rPr>
        <w:t>תל אביב</w:t>
      </w:r>
    </w:p>
    <w:p w:rsidR="00B50FDD" w:rsidRDefault="00B50FDD">
      <w:pPr>
        <w:spacing w:line="360" w:lineRule="auto"/>
        <w:rPr>
          <w:rFonts w:cs="David"/>
          <w:rtl/>
        </w:rPr>
      </w:pPr>
    </w:p>
    <w:p w:rsidR="00B50FDD" w:rsidRDefault="00952268">
      <w:pPr>
        <w:spacing w:line="360" w:lineRule="auto"/>
        <w:rPr>
          <w:rFonts w:cs="David"/>
          <w:b/>
          <w:bCs/>
          <w:spacing w:val="100"/>
          <w:rtl/>
        </w:rPr>
      </w:pPr>
      <w:r>
        <w:rPr>
          <w:rFonts w:cs="David" w:hint="cs"/>
          <w:b/>
          <w:bCs/>
          <w:spacing w:val="100"/>
          <w:rtl/>
        </w:rPr>
        <w:tab/>
      </w:r>
      <w:r>
        <w:rPr>
          <w:rFonts w:cs="David" w:hint="cs"/>
          <w:b/>
          <w:bCs/>
          <w:spacing w:val="100"/>
          <w:rtl/>
        </w:rPr>
        <w:tab/>
        <w:t xml:space="preserve">   -נגד -</w:t>
      </w:r>
    </w:p>
    <w:p w:rsidR="00B50FDD" w:rsidRDefault="00B50FDD">
      <w:pPr>
        <w:rPr>
          <w:rtl/>
        </w:rPr>
      </w:pPr>
    </w:p>
    <w:p w:rsidR="00B50FDD" w:rsidRDefault="00952268" w:rsidP="007C501E">
      <w:pPr>
        <w:pStyle w:val="4"/>
        <w:rPr>
          <w:rFonts w:cs="David" w:hint="cs"/>
          <w:sz w:val="28"/>
          <w:szCs w:val="28"/>
          <w:rtl/>
        </w:rPr>
      </w:pPr>
      <w:r>
        <w:rPr>
          <w:rFonts w:cs="David" w:hint="cs"/>
          <w:u w:val="single"/>
          <w:rtl/>
        </w:rPr>
        <w:t>הנתבע</w:t>
      </w:r>
      <w:r w:rsidR="0086233E">
        <w:rPr>
          <w:rFonts w:cs="David" w:hint="cs"/>
          <w:u w:val="single"/>
          <w:rtl/>
        </w:rPr>
        <w:t>ים</w:t>
      </w:r>
      <w:r>
        <w:rPr>
          <w:rFonts w:cs="David" w:hint="cs"/>
          <w:sz w:val="28"/>
          <w:szCs w:val="28"/>
          <w:rtl/>
        </w:rPr>
        <w:t>:</w:t>
      </w:r>
      <w:r>
        <w:rPr>
          <w:rFonts w:cs="David" w:hint="cs"/>
          <w:sz w:val="28"/>
          <w:szCs w:val="28"/>
          <w:rtl/>
        </w:rPr>
        <w:tab/>
      </w:r>
      <w:r w:rsidR="001418C7">
        <w:rPr>
          <w:rFonts w:cs="David" w:hint="cs"/>
          <w:sz w:val="28"/>
          <w:szCs w:val="28"/>
          <w:rtl/>
        </w:rPr>
        <w:t xml:space="preserve">1. </w:t>
      </w:r>
      <w:r w:rsidR="007C501E">
        <w:rPr>
          <w:rFonts w:cs="David" w:hint="cs"/>
          <w:sz w:val="28"/>
          <w:szCs w:val="28"/>
          <w:rtl/>
        </w:rPr>
        <w:t>שותפות היובלים</w:t>
      </w:r>
    </w:p>
    <w:p w:rsidR="007C501E" w:rsidRPr="007C501E" w:rsidRDefault="007C501E" w:rsidP="007C501E">
      <w:pPr>
        <w:pStyle w:val="4"/>
        <w:rPr>
          <w:rFonts w:cs="David"/>
          <w:sz w:val="28"/>
          <w:szCs w:val="28"/>
          <w:rtl/>
        </w:rPr>
      </w:pPr>
      <w:r w:rsidRPr="007C501E">
        <w:rPr>
          <w:rFonts w:cs="David" w:hint="cs"/>
          <w:sz w:val="28"/>
          <w:szCs w:val="28"/>
          <w:rtl/>
        </w:rPr>
        <w:tab/>
      </w:r>
      <w:r w:rsidRPr="007C501E">
        <w:rPr>
          <w:rFonts w:cs="David" w:hint="cs"/>
          <w:sz w:val="28"/>
          <w:szCs w:val="28"/>
          <w:rtl/>
        </w:rPr>
        <w:tab/>
        <w:t>2. משה מזרחי</w:t>
      </w:r>
    </w:p>
    <w:p w:rsidR="00B50FDD" w:rsidRPr="007C501E" w:rsidRDefault="0086233E" w:rsidP="007C501E">
      <w:pPr>
        <w:pStyle w:val="4"/>
        <w:rPr>
          <w:rFonts w:cs="David"/>
          <w:b w:val="0"/>
          <w:bCs w:val="0"/>
          <w:rtl/>
        </w:rPr>
      </w:pPr>
      <w:r w:rsidRPr="007C501E">
        <w:rPr>
          <w:rFonts w:hint="cs"/>
          <w:b w:val="0"/>
          <w:bCs w:val="0"/>
          <w:rtl/>
        </w:rPr>
        <w:tab/>
      </w:r>
      <w:r w:rsidRPr="007C501E">
        <w:rPr>
          <w:rFonts w:hint="cs"/>
          <w:b w:val="0"/>
          <w:bCs w:val="0"/>
          <w:rtl/>
        </w:rPr>
        <w:tab/>
      </w:r>
      <w:r w:rsidRPr="007C501E">
        <w:rPr>
          <w:rFonts w:cs="David" w:hint="cs"/>
          <w:b w:val="0"/>
          <w:bCs w:val="0"/>
          <w:rtl/>
        </w:rPr>
        <w:t xml:space="preserve">כולם </w:t>
      </w:r>
      <w:r w:rsidR="00952268" w:rsidRPr="007C501E">
        <w:rPr>
          <w:rFonts w:cs="David" w:hint="cs"/>
          <w:b w:val="0"/>
          <w:bCs w:val="0"/>
          <w:rtl/>
        </w:rPr>
        <w:t>באמצעות ב"כ עו"ד אורי שאבי (מ"ר 34831)</w:t>
      </w:r>
    </w:p>
    <w:p w:rsidR="00B50FDD" w:rsidRDefault="00952268">
      <w:pPr>
        <w:spacing w:line="360" w:lineRule="auto"/>
        <w:ind w:left="1440"/>
        <w:rPr>
          <w:rFonts w:cs="David"/>
          <w:rtl/>
        </w:rPr>
      </w:pPr>
      <w:r>
        <w:rPr>
          <w:rFonts w:cs="David" w:hint="cs"/>
          <w:rtl/>
        </w:rPr>
        <w:t>עו"ד יפעת בלייך ועו"ד אורית רובין</w:t>
      </w:r>
    </w:p>
    <w:p w:rsidR="00B50FDD" w:rsidRDefault="00952268">
      <w:pPr>
        <w:spacing w:line="360" w:lineRule="auto"/>
        <w:rPr>
          <w:rFonts w:cs="David"/>
          <w:rtl/>
        </w:rPr>
      </w:pPr>
      <w:r>
        <w:rPr>
          <w:rFonts w:cs="David" w:hint="cs"/>
          <w:rtl/>
        </w:rPr>
        <w:tab/>
      </w:r>
      <w:r>
        <w:rPr>
          <w:rFonts w:cs="David" w:hint="cs"/>
          <w:rtl/>
        </w:rPr>
        <w:tab/>
        <w:t xml:space="preserve"> ממרכז עזריאלי, המגדל המשולש, קומה 28</w:t>
      </w:r>
    </w:p>
    <w:p w:rsidR="00B50FDD" w:rsidRDefault="00952268">
      <w:pPr>
        <w:spacing w:line="360" w:lineRule="auto"/>
        <w:ind w:left="720" w:firstLine="720"/>
        <w:rPr>
          <w:rFonts w:cs="David"/>
          <w:rtl/>
        </w:rPr>
      </w:pPr>
      <w:r>
        <w:rPr>
          <w:rFonts w:cs="David" w:hint="cs"/>
          <w:rtl/>
        </w:rPr>
        <w:t xml:space="preserve"> דרך מנחם בגין 132, תל-אביב 67011</w:t>
      </w:r>
    </w:p>
    <w:p w:rsidR="00B50FDD" w:rsidRDefault="00952268">
      <w:pPr>
        <w:widowControl w:val="0"/>
        <w:spacing w:line="360" w:lineRule="auto"/>
        <w:ind w:left="1440" w:hanging="1440"/>
        <w:jc w:val="both"/>
        <w:rPr>
          <w:rFonts w:cs="David"/>
          <w:rtl/>
        </w:rPr>
      </w:pPr>
      <w:r>
        <w:rPr>
          <w:rFonts w:cs="David" w:hint="cs"/>
          <w:rtl/>
        </w:rPr>
        <w:tab/>
        <w:t xml:space="preserve"> טל' 03-6961402; פקס' 03-6961527</w:t>
      </w:r>
    </w:p>
    <w:p w:rsidR="00B50FDD" w:rsidRDefault="00B50FDD">
      <w:pPr>
        <w:spacing w:line="360" w:lineRule="auto"/>
        <w:rPr>
          <w:rFonts w:cs="David"/>
          <w:b/>
          <w:bCs/>
          <w:rtl/>
        </w:rPr>
      </w:pPr>
    </w:p>
    <w:p w:rsidR="00B50FDD" w:rsidRDefault="00952268">
      <w:pPr>
        <w:pStyle w:val="4"/>
        <w:spacing w:line="276" w:lineRule="auto"/>
        <w:rPr>
          <w:rFonts w:cs="David"/>
          <w:rtl/>
        </w:rPr>
      </w:pPr>
      <w:r>
        <w:rPr>
          <w:rFonts w:cs="David" w:hint="cs"/>
          <w:rtl/>
        </w:rPr>
        <w:tab/>
      </w:r>
      <w:r>
        <w:rPr>
          <w:rFonts w:cs="David" w:hint="cs"/>
          <w:rtl/>
        </w:rPr>
        <w:tab/>
      </w:r>
    </w:p>
    <w:p w:rsidR="00445D4A" w:rsidRDefault="00445D4A" w:rsidP="00445D4A">
      <w:pPr>
        <w:pStyle w:val="4"/>
        <w:jc w:val="center"/>
        <w:rPr>
          <w:rFonts w:cs="David"/>
          <w:sz w:val="38"/>
          <w:szCs w:val="38"/>
          <w:u w:val="single"/>
        </w:rPr>
      </w:pPr>
      <w:r>
        <w:rPr>
          <w:rFonts w:cs="David" w:hint="cs"/>
          <w:sz w:val="38"/>
          <w:szCs w:val="38"/>
          <w:u w:val="single"/>
          <w:rtl/>
        </w:rPr>
        <w:t>כתב הגנה</w:t>
      </w:r>
    </w:p>
    <w:p w:rsidR="00445D4A" w:rsidRDefault="00445D4A" w:rsidP="00445D4A">
      <w:pPr>
        <w:spacing w:before="240" w:line="360" w:lineRule="auto"/>
        <w:jc w:val="both"/>
        <w:rPr>
          <w:rFonts w:cs="David"/>
          <w:spacing w:val="-4"/>
          <w:rtl/>
        </w:rPr>
      </w:pPr>
      <w:r>
        <w:rPr>
          <w:rFonts w:cs="David" w:hint="cs"/>
          <w:spacing w:val="-4"/>
          <w:rtl/>
        </w:rPr>
        <w:t>הנתבעת מתכבדת להגיש לבית-הדין הנכבד את כתב-הגנתה מפני תביעת התובע, כך:</w:t>
      </w:r>
    </w:p>
    <w:p w:rsidR="00445D4A" w:rsidRDefault="00445D4A" w:rsidP="00445D4A">
      <w:pPr>
        <w:numPr>
          <w:ilvl w:val="0"/>
          <w:numId w:val="4"/>
        </w:numPr>
        <w:spacing w:before="240" w:after="200" w:line="360" w:lineRule="auto"/>
        <w:jc w:val="both"/>
        <w:rPr>
          <w:rFonts w:cs="David"/>
          <w:rtl/>
        </w:rPr>
      </w:pPr>
      <w:r>
        <w:rPr>
          <w:rFonts w:cs="David" w:hint="cs"/>
          <w:rtl/>
        </w:rPr>
        <w:t xml:space="preserve">בפתח הדברים ייאמר כי תביעה זו של התובע, אינה אלא ניסיון להוציא מן הנתבעת כספים, אשר </w:t>
      </w:r>
      <w:r w:rsidR="00A66673">
        <w:rPr>
          <w:rFonts w:cs="David" w:hint="cs"/>
          <w:rtl/>
        </w:rPr>
        <w:t>אינם מגיעים ל</w:t>
      </w:r>
      <w:r w:rsidR="00803CCE">
        <w:rPr>
          <w:rFonts w:cs="David" w:hint="cs"/>
          <w:rtl/>
        </w:rPr>
        <w:t>ת</w:t>
      </w:r>
      <w:r w:rsidR="00A66673">
        <w:rPr>
          <w:rFonts w:cs="David" w:hint="cs"/>
          <w:rtl/>
        </w:rPr>
        <w:t>ו</w:t>
      </w:r>
      <w:r w:rsidR="00803CCE">
        <w:rPr>
          <w:rFonts w:cs="David" w:hint="cs"/>
          <w:rtl/>
        </w:rPr>
        <w:t>בע</w:t>
      </w:r>
      <w:r w:rsidR="00A66673">
        <w:rPr>
          <w:rFonts w:cs="David" w:hint="cs"/>
          <w:rtl/>
        </w:rPr>
        <w:t xml:space="preserve"> ולהתעשר על חשבונ</w:t>
      </w:r>
      <w:r>
        <w:rPr>
          <w:rFonts w:cs="David" w:hint="cs"/>
          <w:rtl/>
        </w:rPr>
        <w:t>ה. לתובע שולם כל המגיע לו מאת הנתבעת, כפי שיפורט להלן.</w:t>
      </w:r>
    </w:p>
    <w:p w:rsidR="00445D4A" w:rsidRDefault="00445D4A" w:rsidP="00445D4A">
      <w:pPr>
        <w:numPr>
          <w:ilvl w:val="0"/>
          <w:numId w:val="4"/>
        </w:numPr>
        <w:spacing w:before="240" w:after="200" w:line="360" w:lineRule="auto"/>
        <w:jc w:val="both"/>
        <w:rPr>
          <w:rFonts w:cs="David"/>
        </w:rPr>
      </w:pPr>
      <w:r>
        <w:rPr>
          <w:rFonts w:cs="David" w:hint="cs"/>
          <w:rtl/>
        </w:rPr>
        <w:t>התובע מסתיר מבית-הדין הנכבד פרטים מהותיים, כפי שיפורט להלן, וכל תביעתו מוגשת בחוסר תום-לב משווע.</w:t>
      </w:r>
    </w:p>
    <w:p w:rsidR="00803CCE" w:rsidRDefault="00803CCE" w:rsidP="00803CCE">
      <w:pPr>
        <w:numPr>
          <w:ilvl w:val="0"/>
          <w:numId w:val="4"/>
        </w:numPr>
        <w:spacing w:before="240" w:after="200" w:line="360" w:lineRule="auto"/>
        <w:jc w:val="both"/>
        <w:rPr>
          <w:rFonts w:cs="David"/>
        </w:rPr>
      </w:pPr>
      <w:r>
        <w:rPr>
          <w:rFonts w:cs="David" w:hint="cs"/>
          <w:rtl/>
        </w:rPr>
        <w:t>האמור בסעיפים 1 עד 3 לכתב התביעה מוכחש, כפי שיפורט להלן.</w:t>
      </w:r>
    </w:p>
    <w:p w:rsidR="00946BFE" w:rsidRDefault="00803CCE" w:rsidP="0045377F">
      <w:pPr>
        <w:numPr>
          <w:ilvl w:val="0"/>
          <w:numId w:val="4"/>
        </w:numPr>
        <w:spacing w:before="240" w:after="200" w:line="360" w:lineRule="auto"/>
        <w:jc w:val="both"/>
        <w:rPr>
          <w:rFonts w:cs="David"/>
        </w:rPr>
      </w:pPr>
      <w:r>
        <w:rPr>
          <w:rFonts w:cs="David" w:hint="cs"/>
          <w:rtl/>
        </w:rPr>
        <w:t>האמור בסעי</w:t>
      </w:r>
      <w:r w:rsidR="00946BFE">
        <w:rPr>
          <w:rFonts w:cs="David" w:hint="cs"/>
          <w:rtl/>
        </w:rPr>
        <w:t>פים</w:t>
      </w:r>
      <w:r>
        <w:rPr>
          <w:rFonts w:cs="David" w:hint="cs"/>
          <w:rtl/>
        </w:rPr>
        <w:t xml:space="preserve"> 4 </w:t>
      </w:r>
      <w:r w:rsidR="00946BFE">
        <w:rPr>
          <w:rFonts w:cs="David" w:hint="cs"/>
          <w:rtl/>
        </w:rPr>
        <w:t xml:space="preserve">ו-7 </w:t>
      </w:r>
      <w:r>
        <w:rPr>
          <w:rFonts w:cs="David" w:hint="cs"/>
          <w:rtl/>
        </w:rPr>
        <w:t>לכתב התביעה מוכחש. התובע עבד עבור הנתבעת מיום 01/08/2013 ועד המועד בו עזב במפתיע, ללא מתן הודעה מוקדמת את מקום העבודה.</w:t>
      </w:r>
      <w:r w:rsidR="00946BFE">
        <w:rPr>
          <w:rFonts w:cs="David" w:hint="cs"/>
          <w:rtl/>
        </w:rPr>
        <w:t xml:space="preserve"> מסגרת עבודתו הרגילה והקבועה של התובע היתה, כך: במהלך חצי שנה, 5 ימים בשבוע, ב</w:t>
      </w:r>
      <w:r w:rsidR="00946BFE" w:rsidRPr="00946BFE">
        <w:rPr>
          <w:rFonts w:cs="David" w:hint="cs"/>
          <w:rtl/>
        </w:rPr>
        <w:t xml:space="preserve">ין השעות 00:00 </w:t>
      </w:r>
      <w:r w:rsidR="00946BFE">
        <w:rPr>
          <w:rFonts w:cs="David" w:hint="cs"/>
          <w:rtl/>
        </w:rPr>
        <w:t xml:space="preserve">(חצות הלילה) ועד </w:t>
      </w:r>
      <w:r w:rsidR="0045377F">
        <w:rPr>
          <w:rFonts w:cs="David" w:hint="cs"/>
          <w:rtl/>
        </w:rPr>
        <w:t>7</w:t>
      </w:r>
      <w:r w:rsidR="00946BFE">
        <w:rPr>
          <w:rFonts w:cs="David" w:hint="cs"/>
          <w:rtl/>
        </w:rPr>
        <w:t>:00</w:t>
      </w:r>
      <w:r w:rsidR="006A7F9B">
        <w:rPr>
          <w:rFonts w:cs="David" w:hint="cs"/>
          <w:rtl/>
        </w:rPr>
        <w:t xml:space="preserve"> או 8:00</w:t>
      </w:r>
      <w:r w:rsidR="00946BFE">
        <w:rPr>
          <w:rFonts w:cs="David" w:hint="cs"/>
          <w:rtl/>
        </w:rPr>
        <w:t>;</w:t>
      </w:r>
      <w:r w:rsidR="00946BFE" w:rsidRPr="00946BFE">
        <w:rPr>
          <w:rFonts w:cs="David" w:hint="cs"/>
          <w:rtl/>
        </w:rPr>
        <w:t xml:space="preserve"> מתחילת חודש אפריל עד תחילת נובמבר</w:t>
      </w:r>
      <w:r w:rsidR="00946BFE">
        <w:rPr>
          <w:rFonts w:cs="David" w:hint="cs"/>
          <w:rtl/>
        </w:rPr>
        <w:t>, עבד התובע גם בימי שישי</w:t>
      </w:r>
      <w:r w:rsidR="00946BFE" w:rsidRPr="00946BFE">
        <w:rPr>
          <w:rFonts w:cs="David" w:hint="cs"/>
          <w:rtl/>
        </w:rPr>
        <w:t xml:space="preserve"> משעה 3:00 </w:t>
      </w:r>
      <w:r w:rsidR="00946BFE">
        <w:rPr>
          <w:rFonts w:cs="David" w:hint="cs"/>
          <w:rtl/>
        </w:rPr>
        <w:t>לפנות בוקר ו</w:t>
      </w:r>
      <w:r w:rsidR="00946BFE" w:rsidRPr="00946BFE">
        <w:rPr>
          <w:rFonts w:cs="David" w:hint="cs"/>
          <w:rtl/>
        </w:rPr>
        <w:t xml:space="preserve">עד </w:t>
      </w:r>
      <w:r w:rsidR="00946BFE">
        <w:rPr>
          <w:rFonts w:cs="David" w:hint="cs"/>
          <w:rtl/>
        </w:rPr>
        <w:t xml:space="preserve">השעה </w:t>
      </w:r>
      <w:r w:rsidR="00946BFE" w:rsidRPr="00946BFE">
        <w:rPr>
          <w:rFonts w:cs="David" w:hint="cs"/>
          <w:rtl/>
        </w:rPr>
        <w:t>6:50</w:t>
      </w:r>
      <w:r w:rsidR="00946BFE">
        <w:rPr>
          <w:rFonts w:cs="David" w:hint="cs"/>
          <w:rtl/>
        </w:rPr>
        <w:t xml:space="preserve"> בבוקר.</w:t>
      </w:r>
    </w:p>
    <w:p w:rsidR="00803CCE" w:rsidRPr="00FA197A" w:rsidRDefault="00803CCE" w:rsidP="006A7F9B">
      <w:pPr>
        <w:numPr>
          <w:ilvl w:val="0"/>
          <w:numId w:val="4"/>
        </w:numPr>
        <w:spacing w:before="240" w:after="200" w:line="360" w:lineRule="auto"/>
        <w:jc w:val="both"/>
        <w:rPr>
          <w:rFonts w:cs="David"/>
        </w:rPr>
      </w:pPr>
      <w:r>
        <w:rPr>
          <w:rFonts w:cs="David" w:hint="cs"/>
          <w:rtl/>
        </w:rPr>
        <w:t>מוכחש האמור בסעי</w:t>
      </w:r>
      <w:r w:rsidR="00946BFE">
        <w:rPr>
          <w:rFonts w:cs="David" w:hint="cs"/>
          <w:rtl/>
        </w:rPr>
        <w:t>פים</w:t>
      </w:r>
      <w:r>
        <w:rPr>
          <w:rFonts w:cs="David" w:hint="cs"/>
          <w:rtl/>
        </w:rPr>
        <w:t xml:space="preserve"> 5 </w:t>
      </w:r>
      <w:r w:rsidR="00946BFE">
        <w:rPr>
          <w:rFonts w:cs="David" w:hint="cs"/>
          <w:rtl/>
        </w:rPr>
        <w:t xml:space="preserve">עד 6 </w:t>
      </w:r>
      <w:r>
        <w:rPr>
          <w:rFonts w:cs="David" w:hint="cs"/>
          <w:rtl/>
        </w:rPr>
        <w:t xml:space="preserve">לכתב התביעה. התובע לא הוכיח תחולת </w:t>
      </w:r>
      <w:r w:rsidR="00D01644">
        <w:rPr>
          <w:rFonts w:cs="David" w:hint="cs"/>
          <w:rtl/>
        </w:rPr>
        <w:t>הסכם קיבוצי</w:t>
      </w:r>
      <w:r>
        <w:rPr>
          <w:rFonts w:cs="David" w:hint="cs"/>
          <w:rtl/>
        </w:rPr>
        <w:t xml:space="preserve"> כלשהו על הנתבעת, אשר אינה חברה </w:t>
      </w:r>
      <w:r w:rsidR="00D01644">
        <w:rPr>
          <w:rFonts w:cs="David" w:hint="cs"/>
          <w:rtl/>
        </w:rPr>
        <w:t xml:space="preserve">בהתאחדות מעסיקים כלשהי. גם צו ההרחבה בענף </w:t>
      </w:r>
      <w:r w:rsidR="00D01644">
        <w:rPr>
          <w:rFonts w:cs="David" w:hint="cs"/>
          <w:rtl/>
        </w:rPr>
        <w:lastRenderedPageBreak/>
        <w:t>היבוא, היצוא והמסחר בסיטונות אינו חל על הנתבעת, שכן חל אך ורק על התחום המוניציפלי של עיריות תל אביב, רמת-ג</w:t>
      </w:r>
      <w:r w:rsidR="006A7F9B">
        <w:rPr>
          <w:rFonts w:cs="David" w:hint="cs"/>
          <w:rtl/>
        </w:rPr>
        <w:t>ן, גבעתיים, חולון והוד השרון, ואילו עסקה של הנתבעת ממוקם בשוק הסיטונאי בצריפין.</w:t>
      </w:r>
    </w:p>
    <w:p w:rsidR="00F66E30" w:rsidRPr="00F66E30" w:rsidRDefault="00F66E30" w:rsidP="00F66E30">
      <w:pPr>
        <w:spacing w:after="200" w:line="360" w:lineRule="auto"/>
        <w:ind w:left="360"/>
        <w:jc w:val="both"/>
        <w:rPr>
          <w:rFonts w:cs="David"/>
          <w:u w:val="single"/>
        </w:rPr>
      </w:pPr>
      <w:r w:rsidRPr="00F66E30">
        <w:rPr>
          <w:rFonts w:cs="David" w:hint="cs"/>
          <w:u w:val="single"/>
          <w:rtl/>
        </w:rPr>
        <w:t>נסיבות סיום העבודה</w:t>
      </w:r>
    </w:p>
    <w:p w:rsidR="00803CCE" w:rsidRDefault="00946BFE" w:rsidP="00946BFE">
      <w:pPr>
        <w:numPr>
          <w:ilvl w:val="0"/>
          <w:numId w:val="4"/>
        </w:numPr>
        <w:spacing w:before="240" w:after="200" w:line="360" w:lineRule="auto"/>
        <w:jc w:val="both"/>
        <w:rPr>
          <w:rFonts w:cs="David"/>
        </w:rPr>
      </w:pPr>
      <w:r>
        <w:rPr>
          <w:rFonts w:cs="David" w:hint="cs"/>
          <w:rtl/>
        </w:rPr>
        <w:t xml:space="preserve">האמור בסעיפים 8 עד 16 לכתב התביעה מוכחש. </w:t>
      </w:r>
      <w:r w:rsidR="00EF6C63">
        <w:rPr>
          <w:rFonts w:cs="David" w:hint="cs"/>
          <w:rtl/>
        </w:rPr>
        <w:t xml:space="preserve">בחודשים האחרונים לעבודתו, </w:t>
      </w:r>
      <w:r>
        <w:rPr>
          <w:rFonts w:cs="David" w:hint="cs"/>
          <w:rtl/>
        </w:rPr>
        <w:t>התובע</w:t>
      </w:r>
      <w:r w:rsidR="00803CCE">
        <w:rPr>
          <w:rFonts w:cs="David" w:hint="cs"/>
          <w:rtl/>
        </w:rPr>
        <w:t xml:space="preserve"> עשה ככל שביכולתו </w:t>
      </w:r>
      <w:r>
        <w:rPr>
          <w:rFonts w:cs="David" w:hint="cs"/>
          <w:rtl/>
        </w:rPr>
        <w:t xml:space="preserve">כדי </w:t>
      </w:r>
      <w:r w:rsidR="00803CCE">
        <w:rPr>
          <w:rFonts w:cs="David" w:hint="cs"/>
          <w:rtl/>
        </w:rPr>
        <w:t>לגרום ל</w:t>
      </w:r>
      <w:r>
        <w:rPr>
          <w:rFonts w:cs="David" w:hint="cs"/>
          <w:rtl/>
        </w:rPr>
        <w:t xml:space="preserve">נתבעת </w:t>
      </w:r>
      <w:r w:rsidR="00803CCE">
        <w:rPr>
          <w:rFonts w:cs="David" w:hint="cs"/>
          <w:rtl/>
        </w:rPr>
        <w:t xml:space="preserve">לפטר אותו מעבודתו באמצעות מעשים ומחדלים רבים. </w:t>
      </w:r>
    </w:p>
    <w:p w:rsidR="00921583" w:rsidRDefault="00921583" w:rsidP="00411D08">
      <w:pPr>
        <w:numPr>
          <w:ilvl w:val="0"/>
          <w:numId w:val="4"/>
        </w:numPr>
        <w:spacing w:before="240" w:after="200" w:line="360" w:lineRule="auto"/>
        <w:jc w:val="both"/>
        <w:rPr>
          <w:rFonts w:cs="David"/>
        </w:rPr>
      </w:pPr>
      <w:r>
        <w:rPr>
          <w:rFonts w:cs="David" w:hint="cs"/>
          <w:rtl/>
        </w:rPr>
        <w:t>התובע נהג לשבת בצד החנות ולהתעסק בטלפון הנייד שלו. כאשר הגיעו לקוחות</w:t>
      </w:r>
      <w:r w:rsidR="00EF6C63">
        <w:rPr>
          <w:rFonts w:cs="David" w:hint="cs"/>
          <w:rtl/>
        </w:rPr>
        <w:t xml:space="preserve"> לחנות התובע לא היה טורח להרים את עיניו מן המכשיר הנייד. כאשר </w:t>
      </w:r>
      <w:r w:rsidR="00411D08">
        <w:rPr>
          <w:rFonts w:cs="David" w:hint="cs"/>
          <w:rtl/>
        </w:rPr>
        <w:t xml:space="preserve">מנהלת </w:t>
      </w:r>
      <w:r w:rsidR="00EF6C63">
        <w:rPr>
          <w:rFonts w:cs="David" w:hint="cs"/>
          <w:rtl/>
        </w:rPr>
        <w:t>הנתבעת</w:t>
      </w:r>
      <w:r w:rsidR="00411D08">
        <w:rPr>
          <w:rFonts w:cs="David" w:hint="cs"/>
          <w:rtl/>
        </w:rPr>
        <w:t xml:space="preserve">, </w:t>
      </w:r>
      <w:r w:rsidR="007C501E">
        <w:rPr>
          <w:rFonts w:cs="David" w:hint="cs"/>
          <w:rtl/>
        </w:rPr>
        <w:t>הנתבעת</w:t>
      </w:r>
      <w:r w:rsidR="00411D08">
        <w:rPr>
          <w:rFonts w:cs="David" w:hint="cs"/>
          <w:rtl/>
        </w:rPr>
        <w:t>,</w:t>
      </w:r>
      <w:r w:rsidR="00EF6C63">
        <w:rPr>
          <w:rFonts w:cs="David" w:hint="cs"/>
          <w:rtl/>
        </w:rPr>
        <w:t xml:space="preserve"> שאלה את התובע מדוע אינו </w:t>
      </w:r>
      <w:r w:rsidR="00411D08">
        <w:rPr>
          <w:rFonts w:cs="David" w:hint="cs"/>
          <w:rtl/>
        </w:rPr>
        <w:t>נותן שירות ללקוחות ומדוע המכירות יורדות, התובע היה משיב לה</w:t>
      </w:r>
      <w:r>
        <w:rPr>
          <w:rFonts w:cs="David" w:hint="cs"/>
          <w:rtl/>
        </w:rPr>
        <w:t xml:space="preserve"> </w:t>
      </w:r>
      <w:r w:rsidR="00411D08">
        <w:rPr>
          <w:rFonts w:cs="David" w:hint="cs"/>
          <w:rtl/>
        </w:rPr>
        <w:t>ש"אינו יודע למכור" וש"אם לא מתאים לך - תפטרי אותי".</w:t>
      </w:r>
    </w:p>
    <w:p w:rsidR="00803CCE" w:rsidRDefault="00803CCE" w:rsidP="006171CB">
      <w:pPr>
        <w:numPr>
          <w:ilvl w:val="0"/>
          <w:numId w:val="4"/>
        </w:numPr>
        <w:spacing w:before="240" w:after="200" w:line="360" w:lineRule="auto"/>
        <w:jc w:val="both"/>
        <w:rPr>
          <w:rFonts w:cs="David"/>
        </w:rPr>
      </w:pPr>
      <w:r>
        <w:rPr>
          <w:rFonts w:cs="David" w:hint="cs"/>
          <w:rtl/>
        </w:rPr>
        <w:t>ה</w:t>
      </w:r>
      <w:r w:rsidR="00946BFE">
        <w:rPr>
          <w:rFonts w:cs="David" w:hint="cs"/>
          <w:rtl/>
        </w:rPr>
        <w:t>תובע</w:t>
      </w:r>
      <w:r>
        <w:rPr>
          <w:rFonts w:cs="David" w:hint="cs"/>
          <w:rtl/>
        </w:rPr>
        <w:t xml:space="preserve"> לא פסק לנבל את פיו ולעשות שימוש במילים גסות במקום העבודה. הוא ניצל באופן מכוון את זכותו לשהות בחופשת מחלה, כאשר </w:t>
      </w:r>
      <w:r w:rsidRPr="00803CCE">
        <w:rPr>
          <w:rFonts w:cs="David" w:hint="cs"/>
          <w:rtl/>
        </w:rPr>
        <w:t>במקביל</w:t>
      </w:r>
      <w:r>
        <w:rPr>
          <w:rFonts w:cs="David" w:hint="cs"/>
          <w:rtl/>
        </w:rPr>
        <w:t xml:space="preserve"> החל לעבוד אצל בעלים קודמים של ה</w:t>
      </w:r>
      <w:r w:rsidR="006171CB">
        <w:rPr>
          <w:rFonts w:cs="David" w:hint="cs"/>
          <w:rtl/>
        </w:rPr>
        <w:t>נתבעת</w:t>
      </w:r>
      <w:r>
        <w:rPr>
          <w:rFonts w:cs="David" w:hint="cs"/>
          <w:rtl/>
        </w:rPr>
        <w:t xml:space="preserve"> מר חיים מועלם.  </w:t>
      </w:r>
    </w:p>
    <w:p w:rsidR="006171CB" w:rsidRDefault="006171CB" w:rsidP="00803CCE">
      <w:pPr>
        <w:numPr>
          <w:ilvl w:val="0"/>
          <w:numId w:val="4"/>
        </w:numPr>
        <w:spacing w:before="240" w:after="200" w:line="360" w:lineRule="auto"/>
        <w:jc w:val="both"/>
        <w:rPr>
          <w:rFonts w:cs="David"/>
        </w:rPr>
      </w:pPr>
      <w:r>
        <w:rPr>
          <w:rFonts w:cs="David" w:hint="cs"/>
          <w:rtl/>
        </w:rPr>
        <w:t>התובע בעצמו מציין בסעיף 8 לכתב התביעה כי "נערך גמר חשבון בגין התקופה בה עבד התובע בשירות אביהם של הנתבעים", ללמדך כי העסק נוהל באופן מסודר וכי התובע ידע היטב מיהם מעסיקיו, אולם בחר לחזור לעבוד אצל מעסיקו לשעבר ובכך עזר וסייע בידו לנסות להשתלט על העסק באופן לא חוקי.</w:t>
      </w:r>
    </w:p>
    <w:p w:rsidR="00EB087A" w:rsidRDefault="000F7DE8" w:rsidP="006A7F9B">
      <w:pPr>
        <w:numPr>
          <w:ilvl w:val="0"/>
          <w:numId w:val="4"/>
        </w:numPr>
        <w:spacing w:before="240" w:after="200" w:line="360" w:lineRule="auto"/>
        <w:jc w:val="both"/>
        <w:rPr>
          <w:rFonts w:cs="David"/>
        </w:rPr>
      </w:pPr>
      <w:r>
        <w:rPr>
          <w:rFonts w:cs="David" w:hint="cs"/>
          <w:rtl/>
        </w:rPr>
        <w:t>גם לאחר שצו בית משפט הוציא את האב מן העסק, לא שב התובע לעבודה סד</w:t>
      </w:r>
      <w:r w:rsidR="000A1E6A">
        <w:rPr>
          <w:rFonts w:cs="David" w:hint="cs"/>
          <w:rtl/>
        </w:rPr>
        <w:t>י</w:t>
      </w:r>
      <w:r>
        <w:rPr>
          <w:rFonts w:cs="David" w:hint="cs"/>
          <w:rtl/>
        </w:rPr>
        <w:t xml:space="preserve">רה, אלא המשיך להוציא ימי מחלה פיקטיביים. רק לאחר </w:t>
      </w:r>
      <w:r w:rsidR="000A1E6A">
        <w:rPr>
          <w:rFonts w:cs="David" w:hint="cs"/>
          <w:rtl/>
        </w:rPr>
        <w:t xml:space="preserve">שמיצה את כל ימי המחלה האפשריים הופיע לפתע התובע במקום העבודה, ביום שישי </w:t>
      </w:r>
      <w:r w:rsidRPr="000F7DE8">
        <w:rPr>
          <w:rFonts w:cs="David" w:hint="cs"/>
          <w:rtl/>
        </w:rPr>
        <w:t xml:space="preserve">בשעה 3:00. </w:t>
      </w:r>
      <w:r w:rsidR="000A1E6A">
        <w:rPr>
          <w:rFonts w:cs="David" w:hint="cs"/>
          <w:rtl/>
        </w:rPr>
        <w:t>מנהלת הנתבעת</w:t>
      </w:r>
      <w:r w:rsidR="00473A07">
        <w:rPr>
          <w:rFonts w:cs="David" w:hint="cs"/>
          <w:rtl/>
        </w:rPr>
        <w:t xml:space="preserve">, </w:t>
      </w:r>
      <w:r w:rsidR="007C501E">
        <w:rPr>
          <w:rFonts w:cs="David" w:hint="cs"/>
          <w:rtl/>
        </w:rPr>
        <w:t>הנתבעת</w:t>
      </w:r>
      <w:r w:rsidR="00473A07">
        <w:rPr>
          <w:rFonts w:cs="David" w:hint="cs"/>
          <w:rtl/>
        </w:rPr>
        <w:t>,</w:t>
      </w:r>
      <w:r w:rsidR="000A1E6A">
        <w:rPr>
          <w:rFonts w:cs="David" w:hint="cs"/>
          <w:rtl/>
        </w:rPr>
        <w:t xml:space="preserve"> </w:t>
      </w:r>
      <w:r w:rsidR="009129CB">
        <w:rPr>
          <w:rFonts w:cs="David" w:hint="cs"/>
          <w:rtl/>
        </w:rPr>
        <w:t>אמרה לתובע לא לגשת ול</w:t>
      </w:r>
      <w:r w:rsidR="006A7F9B">
        <w:rPr>
          <w:rFonts w:cs="David" w:hint="cs"/>
          <w:rtl/>
        </w:rPr>
        <w:t>הגיד מחירים</w:t>
      </w:r>
      <w:r w:rsidR="009129CB">
        <w:rPr>
          <w:rFonts w:cs="David" w:hint="cs"/>
          <w:rtl/>
        </w:rPr>
        <w:t xml:space="preserve"> ללקוח </w:t>
      </w:r>
      <w:r w:rsidR="007C7A9A">
        <w:rPr>
          <w:rFonts w:cs="David" w:hint="cs"/>
          <w:rtl/>
        </w:rPr>
        <w:t>וביקשה מהתובע להמתין בצד. הסיבה לכך היתה, שהתובע נעדר מהעבודה</w:t>
      </w:r>
      <w:r w:rsidR="00970513">
        <w:rPr>
          <w:rFonts w:cs="David" w:hint="cs"/>
          <w:rtl/>
        </w:rPr>
        <w:t>,</w:t>
      </w:r>
      <w:r w:rsidR="007C7A9A">
        <w:rPr>
          <w:rFonts w:cs="David" w:hint="cs"/>
          <w:rtl/>
        </w:rPr>
        <w:t xml:space="preserve"> </w:t>
      </w:r>
      <w:r w:rsidR="00CD2A78">
        <w:rPr>
          <w:rFonts w:cs="David" w:hint="cs"/>
          <w:rtl/>
        </w:rPr>
        <w:t>היעדרות ממושכת</w:t>
      </w:r>
      <w:r w:rsidR="00970513">
        <w:rPr>
          <w:rFonts w:cs="David" w:hint="cs"/>
          <w:rtl/>
        </w:rPr>
        <w:t>,</w:t>
      </w:r>
      <w:r w:rsidR="007C7A9A">
        <w:rPr>
          <w:rFonts w:cs="David" w:hint="cs"/>
          <w:rtl/>
        </w:rPr>
        <w:t xml:space="preserve"> ואילו הענף בו עוסקת הנתבעת </w:t>
      </w:r>
      <w:r w:rsidR="00CD2A78">
        <w:rPr>
          <w:rFonts w:cs="David" w:hint="cs"/>
          <w:rtl/>
        </w:rPr>
        <w:t>הוא ענף דינמי</w:t>
      </w:r>
      <w:r w:rsidR="007C7A9A">
        <w:rPr>
          <w:rFonts w:cs="David" w:hint="cs"/>
          <w:rtl/>
        </w:rPr>
        <w:t xml:space="preserve"> </w:t>
      </w:r>
      <w:r w:rsidR="00CD2A78">
        <w:rPr>
          <w:rFonts w:cs="David" w:hint="cs"/>
          <w:rtl/>
        </w:rPr>
        <w:t>ו</w:t>
      </w:r>
      <w:r w:rsidR="007C7A9A">
        <w:rPr>
          <w:rFonts w:cs="David" w:hint="cs"/>
          <w:rtl/>
        </w:rPr>
        <w:t>יש שינויים במחירי הסחורות</w:t>
      </w:r>
      <w:r w:rsidR="006A7F9B">
        <w:rPr>
          <w:rFonts w:cs="David" w:hint="cs"/>
          <w:rtl/>
        </w:rPr>
        <w:t xml:space="preserve"> (הבדלים יכולים להיות אף בין חנויות סמוכות)</w:t>
      </w:r>
      <w:r w:rsidR="00CD2A78">
        <w:rPr>
          <w:rFonts w:cs="David" w:hint="cs"/>
          <w:rtl/>
        </w:rPr>
        <w:t xml:space="preserve">. </w:t>
      </w:r>
      <w:r w:rsidR="007C501E">
        <w:rPr>
          <w:rFonts w:cs="David" w:hint="cs"/>
          <w:rtl/>
        </w:rPr>
        <w:t>הנתבעת</w:t>
      </w:r>
      <w:r w:rsidR="00CD2A78">
        <w:rPr>
          <w:rFonts w:cs="David" w:hint="cs"/>
          <w:rtl/>
        </w:rPr>
        <w:t xml:space="preserve"> רצתה לתדרך את התובע במחירים ובסחורות העדכניים, על מנת שלא תבוצע טעות </w:t>
      </w:r>
      <w:r w:rsidR="00970513">
        <w:rPr>
          <w:rFonts w:cs="David" w:hint="cs"/>
          <w:rtl/>
        </w:rPr>
        <w:t>א</w:t>
      </w:r>
      <w:r w:rsidR="00CD2A78">
        <w:rPr>
          <w:rFonts w:cs="David" w:hint="cs"/>
          <w:rtl/>
        </w:rPr>
        <w:t>ו</w:t>
      </w:r>
      <w:r w:rsidR="00970513">
        <w:rPr>
          <w:rFonts w:cs="David" w:hint="cs"/>
          <w:rtl/>
        </w:rPr>
        <w:t xml:space="preserve"> </w:t>
      </w:r>
      <w:r w:rsidR="00CD2A78">
        <w:rPr>
          <w:rFonts w:cs="David" w:hint="cs"/>
          <w:rtl/>
        </w:rPr>
        <w:t>מכירה במחירי הפסד.</w:t>
      </w:r>
      <w:r w:rsidR="007C7A9A">
        <w:rPr>
          <w:rFonts w:cs="David" w:hint="cs"/>
          <w:rtl/>
        </w:rPr>
        <w:t xml:space="preserve"> </w:t>
      </w:r>
      <w:r w:rsidR="00473A07">
        <w:rPr>
          <w:rFonts w:cs="David" w:hint="cs"/>
          <w:rtl/>
        </w:rPr>
        <w:t>למרות זאת, התובע עזב את המקום ושלח ל</w:t>
      </w:r>
      <w:r w:rsidR="007C501E">
        <w:rPr>
          <w:rFonts w:cs="David" w:hint="cs"/>
          <w:rtl/>
        </w:rPr>
        <w:t>הנתבעת</w:t>
      </w:r>
      <w:r w:rsidR="00473A07">
        <w:rPr>
          <w:rFonts w:cs="David" w:hint="cs"/>
          <w:rtl/>
        </w:rPr>
        <w:t xml:space="preserve"> ה</w:t>
      </w:r>
      <w:r w:rsidR="00EB087A">
        <w:rPr>
          <w:rFonts w:cs="David" w:hint="cs"/>
          <w:rtl/>
        </w:rPr>
        <w:t>ודעת וואצאפ אשר העתקה צורף כנספח ה' לכתב התביעה.</w:t>
      </w:r>
    </w:p>
    <w:p w:rsidR="006171CB" w:rsidRDefault="007C501E" w:rsidP="007C434F">
      <w:pPr>
        <w:numPr>
          <w:ilvl w:val="0"/>
          <w:numId w:val="4"/>
        </w:numPr>
        <w:spacing w:before="240" w:after="200" w:line="360" w:lineRule="auto"/>
        <w:jc w:val="both"/>
        <w:rPr>
          <w:rFonts w:cs="David"/>
        </w:rPr>
      </w:pPr>
      <w:r>
        <w:rPr>
          <w:rFonts w:cs="David" w:hint="cs"/>
          <w:rtl/>
        </w:rPr>
        <w:t>הנתבעת</w:t>
      </w:r>
      <w:r w:rsidR="00EB087A">
        <w:rPr>
          <w:rFonts w:cs="David" w:hint="cs"/>
          <w:rtl/>
        </w:rPr>
        <w:t xml:space="preserve"> מעולם לא אמרה לתובע ללכת הביתה ובוודאי שלא פיטרה אותו. </w:t>
      </w:r>
      <w:r w:rsidR="007C434F">
        <w:rPr>
          <w:rFonts w:cs="David" w:hint="cs"/>
          <w:rtl/>
        </w:rPr>
        <w:t xml:space="preserve">התובע קרא לעבר </w:t>
      </w:r>
      <w:r>
        <w:rPr>
          <w:rFonts w:cs="David" w:hint="cs"/>
          <w:rtl/>
        </w:rPr>
        <w:t>הנתבעת</w:t>
      </w:r>
      <w:r w:rsidR="007C434F">
        <w:rPr>
          <w:rFonts w:cs="David" w:hint="cs"/>
          <w:rtl/>
        </w:rPr>
        <w:t xml:space="preserve"> </w:t>
      </w:r>
      <w:r w:rsidR="00EB087A">
        <w:rPr>
          <w:rFonts w:cs="David" w:hint="cs"/>
          <w:rtl/>
        </w:rPr>
        <w:t>"נוכלת" והלך. התנהגות התובע לא מותירה כל ספק כי הוא התכוון לעזוב את מקום העבודה ולסיים את יחסי העבודה</w:t>
      </w:r>
      <w:r w:rsidR="00C16CA1">
        <w:rPr>
          <w:rFonts w:cs="David" w:hint="cs"/>
          <w:rtl/>
        </w:rPr>
        <w:t xml:space="preserve"> מטעמיו שלו</w:t>
      </w:r>
      <w:r w:rsidR="00EB087A">
        <w:rPr>
          <w:rFonts w:cs="David" w:hint="cs"/>
          <w:rtl/>
        </w:rPr>
        <w:t>. הדבר מהווה התפטרות ונטישת מקום העבודה, ללא מתן הודעה מוקדמת ובחוסר תום-לב.</w:t>
      </w:r>
    </w:p>
    <w:p w:rsidR="00C16CA1" w:rsidRDefault="00C16CA1" w:rsidP="00C16CA1">
      <w:pPr>
        <w:numPr>
          <w:ilvl w:val="0"/>
          <w:numId w:val="4"/>
        </w:numPr>
        <w:spacing w:before="240" w:after="200" w:line="360" w:lineRule="auto"/>
        <w:jc w:val="both"/>
        <w:rPr>
          <w:rFonts w:cs="David"/>
        </w:rPr>
      </w:pPr>
      <w:r>
        <w:rPr>
          <w:rFonts w:cs="David" w:hint="cs"/>
          <w:rtl/>
        </w:rPr>
        <w:t>בנוסף, התובע אף נהג להשמיץ את השותפים בנתבעת בפני יצרנים רבים כדי שלא יעבדו עימם, וזאת באופן מכוון כדי לפגוע בנתבעת, באופן שמהווה לכאורה עבירה ועוולה של לשון הרע. השותפים בנתבעת שוקלים בהקשר זה האם לנקוט כנגד התובע בהליך משפטי נפרד.</w:t>
      </w:r>
    </w:p>
    <w:p w:rsidR="00F66E30" w:rsidRPr="00B1472D" w:rsidRDefault="00F66E30" w:rsidP="00F66E30">
      <w:pPr>
        <w:spacing w:after="200" w:line="360" w:lineRule="auto"/>
        <w:ind w:left="360"/>
        <w:jc w:val="both"/>
        <w:rPr>
          <w:rFonts w:cs="David"/>
          <w:u w:val="single"/>
        </w:rPr>
      </w:pPr>
      <w:r w:rsidRPr="00B1472D">
        <w:rPr>
          <w:rFonts w:cs="David" w:hint="cs"/>
          <w:u w:val="single"/>
          <w:rtl/>
        </w:rPr>
        <w:lastRenderedPageBreak/>
        <w:t>שכר קובע</w:t>
      </w:r>
    </w:p>
    <w:p w:rsidR="00002D5F" w:rsidRDefault="00002D5F" w:rsidP="00002D5F">
      <w:pPr>
        <w:numPr>
          <w:ilvl w:val="0"/>
          <w:numId w:val="4"/>
        </w:numPr>
        <w:spacing w:before="240" w:after="200" w:line="360" w:lineRule="auto"/>
        <w:jc w:val="both"/>
        <w:rPr>
          <w:rFonts w:cs="David"/>
        </w:rPr>
      </w:pPr>
      <w:r>
        <w:rPr>
          <w:rFonts w:cs="David" w:hint="cs"/>
          <w:rtl/>
        </w:rPr>
        <w:t xml:space="preserve">האמור בסעיפים 17 עד 21 לכתב התביעה מוכחש. </w:t>
      </w:r>
    </w:p>
    <w:p w:rsidR="00B07A06" w:rsidRPr="00B07A06" w:rsidRDefault="00803CCE" w:rsidP="00387C5E">
      <w:pPr>
        <w:numPr>
          <w:ilvl w:val="0"/>
          <w:numId w:val="4"/>
        </w:numPr>
        <w:spacing w:before="240" w:after="200" w:line="360" w:lineRule="auto"/>
        <w:jc w:val="both"/>
        <w:rPr>
          <w:rFonts w:cs="David"/>
          <w:b/>
          <w:bCs/>
        </w:rPr>
      </w:pPr>
      <w:r w:rsidRPr="00B07A06">
        <w:rPr>
          <w:rFonts w:cs="David" w:hint="cs"/>
          <w:rtl/>
        </w:rPr>
        <w:t>במהלך כל תקופת עבודתו קיבל ה</w:t>
      </w:r>
      <w:r w:rsidR="00002D5F" w:rsidRPr="00B07A06">
        <w:rPr>
          <w:rFonts w:cs="David" w:hint="cs"/>
          <w:rtl/>
        </w:rPr>
        <w:t>תובע תלושי שכר תקינים ומסודרים</w:t>
      </w:r>
      <w:r w:rsidR="00F66E30" w:rsidRPr="00B07A06">
        <w:rPr>
          <w:rFonts w:cs="David" w:hint="cs"/>
          <w:rtl/>
        </w:rPr>
        <w:t xml:space="preserve"> מדי חודש בחודשו. עצם העובדה כי התובע צירף לכתב התביעה את תלושי השכר מעידה על כך</w:t>
      </w:r>
      <w:r w:rsidR="00002D5F" w:rsidRPr="00B07A06">
        <w:rPr>
          <w:rFonts w:cs="David" w:hint="cs"/>
          <w:rtl/>
        </w:rPr>
        <w:t xml:space="preserve">. </w:t>
      </w:r>
    </w:p>
    <w:p w:rsidR="00387C5E" w:rsidRPr="00B07A06" w:rsidRDefault="00387C5E" w:rsidP="00B07A06">
      <w:pPr>
        <w:spacing w:before="240" w:after="200" w:line="360" w:lineRule="auto"/>
        <w:ind w:left="360"/>
        <w:jc w:val="both"/>
        <w:rPr>
          <w:rFonts w:cs="David"/>
          <w:b/>
          <w:bCs/>
          <w:rtl/>
        </w:rPr>
      </w:pPr>
      <w:r w:rsidRPr="00B07A06">
        <w:rPr>
          <w:rFonts w:cs="David" w:hint="cs"/>
          <w:b/>
          <w:bCs/>
          <w:rtl/>
        </w:rPr>
        <w:t xml:space="preserve">תלושי השכר של התובע </w:t>
      </w:r>
      <w:r w:rsidRPr="00B07A06">
        <w:rPr>
          <w:rFonts w:cs="David"/>
          <w:b/>
          <w:bCs/>
          <w:rtl/>
        </w:rPr>
        <w:t>–</w:t>
      </w:r>
      <w:r w:rsidRPr="00B07A06">
        <w:rPr>
          <w:rFonts w:cs="David" w:hint="cs"/>
          <w:b/>
          <w:bCs/>
          <w:rtl/>
        </w:rPr>
        <w:t xml:space="preserve"> מצ"ב כנספח 1</w:t>
      </w:r>
    </w:p>
    <w:p w:rsidR="00B07A06" w:rsidRDefault="00F66E30" w:rsidP="00B07A06">
      <w:pPr>
        <w:numPr>
          <w:ilvl w:val="0"/>
          <w:numId w:val="4"/>
        </w:numPr>
        <w:spacing w:after="200" w:line="360" w:lineRule="auto"/>
        <w:jc w:val="both"/>
        <w:rPr>
          <w:rFonts w:cs="David"/>
        </w:rPr>
      </w:pPr>
      <w:r>
        <w:rPr>
          <w:rFonts w:cs="David" w:hint="cs"/>
          <w:rtl/>
        </w:rPr>
        <w:t xml:space="preserve">שכרו של התובע הוא כמפורט בתלושי השכר. התובע לא הלין מעולם על האמור בתלושי השכר וחזקה כי תנאי העבודה היו מוסכמים עליו. תלושי השכר הם סדורים ומפורטים, בהתאם להוראות הדין ואין כל </w:t>
      </w:r>
      <w:r w:rsidRPr="00CD3859">
        <w:rPr>
          <w:rFonts w:cs="David" w:hint="cs"/>
          <w:rtl/>
        </w:rPr>
        <w:t>ממש בטענת התובע ל"</w:t>
      </w:r>
      <w:r w:rsidR="00B07A06">
        <w:rPr>
          <w:rFonts w:cs="David" w:hint="cs"/>
          <w:rtl/>
        </w:rPr>
        <w:t>פיצול</w:t>
      </w:r>
      <w:r w:rsidRPr="00CD3859">
        <w:rPr>
          <w:rFonts w:cs="David" w:hint="cs"/>
          <w:rtl/>
        </w:rPr>
        <w:t>"</w:t>
      </w:r>
      <w:r w:rsidR="00B07A06">
        <w:rPr>
          <w:rFonts w:cs="David" w:hint="cs"/>
          <w:rtl/>
        </w:rPr>
        <w:t xml:space="preserve"> "במטרה לחמוק מתשלום זכויות"</w:t>
      </w:r>
      <w:r w:rsidRPr="00CD3859">
        <w:rPr>
          <w:rFonts w:cs="David" w:hint="cs"/>
          <w:rtl/>
        </w:rPr>
        <w:t xml:space="preserve">, אשר נטענת כלאחר יד וללא כל בסיס. </w:t>
      </w:r>
    </w:p>
    <w:p w:rsidR="00B07A06" w:rsidRDefault="00B07A06" w:rsidP="00A16D11">
      <w:pPr>
        <w:numPr>
          <w:ilvl w:val="0"/>
          <w:numId w:val="4"/>
        </w:numPr>
        <w:spacing w:before="240" w:after="200" w:line="360" w:lineRule="auto"/>
        <w:jc w:val="both"/>
        <w:rPr>
          <w:rFonts w:cs="David"/>
        </w:rPr>
      </w:pPr>
      <w:r>
        <w:rPr>
          <w:rFonts w:cs="David" w:hint="cs"/>
          <w:rtl/>
        </w:rPr>
        <w:t xml:space="preserve">התובע ניהל משא ומתן על שכרו </w:t>
      </w:r>
      <w:r w:rsidR="00A16D11">
        <w:rPr>
          <w:rFonts w:cs="David" w:hint="cs"/>
          <w:rtl/>
        </w:rPr>
        <w:t>ו</w:t>
      </w:r>
      <w:r>
        <w:rPr>
          <w:rFonts w:cs="David" w:hint="cs"/>
          <w:rtl/>
        </w:rPr>
        <w:t xml:space="preserve">בחודש יוני 2014 הועלה השכר וכן הוגדל תשלום החזר הוצאות הנסיעה. כל זאת נעשה על פי הסיכום עם התובע, לאחר שהוא עצמו דרש זאת. ממילא, הסכום ששולם בגין נסיעות אינו מוגזם ביחס לגובה השכר, וכן הוא משקף עלות סבירה של אחזקת רכב. </w:t>
      </w:r>
      <w:r w:rsidR="006A7F9B">
        <w:rPr>
          <w:rFonts w:cs="David" w:hint="cs"/>
          <w:rtl/>
        </w:rPr>
        <w:t>זאת, נוכח שעות עבודתו של התובע ומקום מגוריו, אשר לא איפשרו שימוש בתחבורה ציבורית רגילה.</w:t>
      </w:r>
    </w:p>
    <w:p w:rsidR="00F66E30" w:rsidRPr="00CD3859" w:rsidRDefault="00F66E30" w:rsidP="00A16D11">
      <w:pPr>
        <w:numPr>
          <w:ilvl w:val="0"/>
          <w:numId w:val="4"/>
        </w:numPr>
        <w:spacing w:after="200" w:line="360" w:lineRule="auto"/>
        <w:jc w:val="both"/>
        <w:rPr>
          <w:rFonts w:cs="David"/>
        </w:rPr>
      </w:pPr>
      <w:r w:rsidRPr="00CD3859">
        <w:rPr>
          <w:rFonts w:cs="David" w:hint="cs"/>
          <w:rtl/>
        </w:rPr>
        <w:t>טענת</w:t>
      </w:r>
      <w:r w:rsidR="00A16D11">
        <w:rPr>
          <w:rFonts w:cs="David" w:hint="cs"/>
          <w:rtl/>
        </w:rPr>
        <w:t xml:space="preserve"> התובע ביחס לפיצול</w:t>
      </w:r>
      <w:r w:rsidRPr="00CD3859">
        <w:rPr>
          <w:rFonts w:cs="David" w:hint="cs"/>
          <w:rtl/>
        </w:rPr>
        <w:t xml:space="preserve"> פיקטיבי, לכאורה, של תלושי השכר הינה טענה חמורה שטעונה דרגת הוכחה גבוהה וביחס לטענות מסוג זה קיימת חובת פירוט מיוחדת [</w:t>
      </w:r>
      <w:hyperlink r:id="rId7" w:history="1">
        <w:r w:rsidRPr="00CD3859">
          <w:rPr>
            <w:rFonts w:cs="David" w:hint="eastAsia"/>
            <w:rtl/>
          </w:rPr>
          <w:t>תקנה</w:t>
        </w:r>
        <w:r w:rsidRPr="00CD3859">
          <w:rPr>
            <w:rFonts w:cs="David"/>
            <w:rtl/>
          </w:rPr>
          <w:t xml:space="preserve"> 78</w:t>
        </w:r>
      </w:hyperlink>
      <w:r w:rsidRPr="00CD3859">
        <w:rPr>
          <w:rFonts w:cs="David" w:hint="cs"/>
          <w:rtl/>
        </w:rPr>
        <w:t xml:space="preserve"> ל</w:t>
      </w:r>
      <w:hyperlink r:id="rId8" w:history="1">
        <w:r w:rsidRPr="00CD3859">
          <w:rPr>
            <w:rFonts w:cs="David" w:hint="eastAsia"/>
            <w:rtl/>
          </w:rPr>
          <w:t>תקנות</w:t>
        </w:r>
        <w:r w:rsidR="00A17DC5">
          <w:rPr>
            <w:rFonts w:cs="David" w:hint="cs"/>
            <w:rtl/>
          </w:rPr>
          <w:t xml:space="preserve"> </w:t>
        </w:r>
        <w:r w:rsidRPr="00CD3859">
          <w:rPr>
            <w:rFonts w:cs="David" w:hint="eastAsia"/>
            <w:rtl/>
          </w:rPr>
          <w:t>סדר</w:t>
        </w:r>
        <w:r w:rsidR="00A17DC5">
          <w:rPr>
            <w:rFonts w:cs="David" w:hint="cs"/>
            <w:rtl/>
          </w:rPr>
          <w:t xml:space="preserve"> </w:t>
        </w:r>
        <w:r w:rsidRPr="00CD3859">
          <w:rPr>
            <w:rFonts w:cs="David" w:hint="eastAsia"/>
            <w:rtl/>
          </w:rPr>
          <w:t>הדין</w:t>
        </w:r>
        <w:r w:rsidR="00A17DC5">
          <w:rPr>
            <w:rFonts w:cs="David" w:hint="cs"/>
            <w:rtl/>
          </w:rPr>
          <w:t xml:space="preserve"> </w:t>
        </w:r>
        <w:r w:rsidRPr="00CD3859">
          <w:rPr>
            <w:rFonts w:cs="David" w:hint="eastAsia"/>
            <w:rtl/>
          </w:rPr>
          <w:t>האזרחי</w:t>
        </w:r>
      </w:hyperlink>
      <w:r w:rsidRPr="00CD3859">
        <w:rPr>
          <w:rFonts w:cs="David" w:hint="cs"/>
          <w:rtl/>
        </w:rPr>
        <w:t xml:space="preserve">, התשמ"ד-1984 וכן </w:t>
      </w:r>
      <w:hyperlink r:id="rId9" w:history="1">
        <w:r w:rsidRPr="00CD3859">
          <w:rPr>
            <w:rFonts w:cs="David" w:hint="eastAsia"/>
            <w:rtl/>
          </w:rPr>
          <w:t>סע</w:t>
        </w:r>
        <w:r w:rsidRPr="00CD3859">
          <w:rPr>
            <w:rFonts w:cs="David"/>
            <w:rtl/>
          </w:rPr>
          <w:t>"</w:t>
        </w:r>
        <w:r w:rsidRPr="00CD3859">
          <w:rPr>
            <w:rFonts w:cs="David" w:hint="eastAsia"/>
            <w:rtl/>
          </w:rPr>
          <w:t>ש</w:t>
        </w:r>
        <w:r w:rsidRPr="00CD3859">
          <w:rPr>
            <w:rFonts w:cs="David"/>
            <w:rtl/>
          </w:rPr>
          <w:t xml:space="preserve"> (</w:t>
        </w:r>
        <w:r w:rsidRPr="00CD3859">
          <w:rPr>
            <w:rFonts w:cs="David" w:hint="eastAsia"/>
            <w:rtl/>
          </w:rPr>
          <w:t>ת</w:t>
        </w:r>
        <w:r w:rsidRPr="00CD3859">
          <w:rPr>
            <w:rFonts w:cs="David"/>
            <w:rtl/>
          </w:rPr>
          <w:t>"</w:t>
        </w:r>
        <w:r w:rsidRPr="00CD3859">
          <w:rPr>
            <w:rFonts w:cs="David" w:hint="eastAsia"/>
            <w:rtl/>
          </w:rPr>
          <w:t>א</w:t>
        </w:r>
        <w:r w:rsidRPr="00CD3859">
          <w:rPr>
            <w:rFonts w:cs="David"/>
            <w:rtl/>
          </w:rPr>
          <w:t>) 36154-03-15</w:t>
        </w:r>
      </w:hyperlink>
      <w:r w:rsidRPr="00CD3859">
        <w:rPr>
          <w:rFonts w:cs="David"/>
          <w:sz w:val="22"/>
          <w:szCs w:val="22"/>
          <w:u w:val="single"/>
        </w:rPr>
        <w:t>KIDANE BACA</w:t>
      </w:r>
      <w:r w:rsidRPr="0045377F">
        <w:rPr>
          <w:rFonts w:cs="David"/>
          <w:sz w:val="22"/>
          <w:szCs w:val="22"/>
        </w:rPr>
        <w:t xml:space="preserve"> </w:t>
      </w:r>
      <w:r w:rsidRPr="00CD3859">
        <w:rPr>
          <w:rFonts w:cs="David"/>
          <w:sz w:val="22"/>
          <w:szCs w:val="22"/>
          <w:u w:val="single"/>
        </w:rPr>
        <w:t>SELTENE</w:t>
      </w:r>
      <w:r w:rsidRPr="00CD3859">
        <w:rPr>
          <w:rFonts w:cs="David" w:hint="cs"/>
          <w:u w:val="single"/>
          <w:rtl/>
        </w:rPr>
        <w:t xml:space="preserve"> נ' קפלן את לוי בע"מ</w:t>
      </w:r>
      <w:r w:rsidR="0045377F" w:rsidRPr="0045377F">
        <w:rPr>
          <w:rFonts w:cs="David" w:hint="cs"/>
          <w:rtl/>
        </w:rPr>
        <w:t xml:space="preserve"> </w:t>
      </w:r>
      <w:r w:rsidRPr="00CD3859">
        <w:rPr>
          <w:rFonts w:cs="David"/>
          <w:rtl/>
        </w:rPr>
        <w:t>[</w:t>
      </w:r>
      <w:r w:rsidRPr="00CD3859">
        <w:rPr>
          <w:rFonts w:cs="David" w:hint="eastAsia"/>
          <w:rtl/>
        </w:rPr>
        <w:t>פורסם</w:t>
      </w:r>
      <w:r w:rsidR="00A17DC5">
        <w:rPr>
          <w:rFonts w:cs="David" w:hint="cs"/>
          <w:rtl/>
        </w:rPr>
        <w:t xml:space="preserve"> </w:t>
      </w:r>
      <w:r w:rsidRPr="00CD3859">
        <w:rPr>
          <w:rFonts w:cs="David" w:hint="eastAsia"/>
          <w:rtl/>
        </w:rPr>
        <w:t>בנבו</w:t>
      </w:r>
      <w:r w:rsidRPr="00CD3859">
        <w:rPr>
          <w:rFonts w:cs="David"/>
          <w:rtl/>
        </w:rPr>
        <w:t xml:space="preserve">] </w:t>
      </w:r>
      <w:r w:rsidRPr="00CD3859">
        <w:rPr>
          <w:rFonts w:cs="David" w:hint="cs"/>
          <w:rtl/>
        </w:rPr>
        <w:t>(2/11/16) ו</w:t>
      </w:r>
      <w:hyperlink r:id="rId10" w:history="1">
        <w:r w:rsidRPr="00CD3859">
          <w:rPr>
            <w:rFonts w:cs="David" w:hint="eastAsia"/>
            <w:rtl/>
          </w:rPr>
          <w:t>סע</w:t>
        </w:r>
        <w:r w:rsidRPr="00CD3859">
          <w:rPr>
            <w:rFonts w:cs="David"/>
            <w:rtl/>
          </w:rPr>
          <w:t>"</w:t>
        </w:r>
        <w:r w:rsidRPr="00CD3859">
          <w:rPr>
            <w:rFonts w:cs="David" w:hint="eastAsia"/>
            <w:rtl/>
          </w:rPr>
          <w:t>ש</w:t>
        </w:r>
        <w:r w:rsidRPr="00CD3859">
          <w:rPr>
            <w:rFonts w:cs="David"/>
            <w:rtl/>
          </w:rPr>
          <w:t xml:space="preserve"> 53237-05-15</w:t>
        </w:r>
      </w:hyperlink>
      <w:r w:rsidRPr="00CD3859">
        <w:rPr>
          <w:rFonts w:cs="David"/>
          <w:sz w:val="22"/>
          <w:szCs w:val="22"/>
          <w:u w:val="single"/>
        </w:rPr>
        <w:t>DENDEN DRAR</w:t>
      </w:r>
      <w:r w:rsidRPr="00CD3859">
        <w:rPr>
          <w:rFonts w:cs="David" w:hint="cs"/>
          <w:u w:val="single"/>
          <w:rtl/>
        </w:rPr>
        <w:t xml:space="preserve"> נ' י.ב.</w:t>
      </w:r>
      <w:r w:rsidR="00A17DC5">
        <w:rPr>
          <w:rFonts w:cs="David" w:hint="cs"/>
          <w:u w:val="single"/>
          <w:rtl/>
        </w:rPr>
        <w:t xml:space="preserve"> </w:t>
      </w:r>
      <w:r w:rsidRPr="00CD3859">
        <w:rPr>
          <w:rFonts w:cs="David" w:hint="cs"/>
          <w:u w:val="single"/>
          <w:rtl/>
        </w:rPr>
        <w:t>שיא משאבים</w:t>
      </w:r>
      <w:r w:rsidR="0045377F">
        <w:rPr>
          <w:rFonts w:cs="David" w:hint="cs"/>
          <w:rtl/>
        </w:rPr>
        <w:t xml:space="preserve"> </w:t>
      </w:r>
      <w:r w:rsidRPr="00CD3859">
        <w:rPr>
          <w:rFonts w:cs="David"/>
          <w:rtl/>
        </w:rPr>
        <w:t>[</w:t>
      </w:r>
      <w:r w:rsidRPr="00CD3859">
        <w:rPr>
          <w:rFonts w:cs="David" w:hint="eastAsia"/>
          <w:rtl/>
        </w:rPr>
        <w:t>פורסם</w:t>
      </w:r>
      <w:r w:rsidR="00A17DC5">
        <w:rPr>
          <w:rFonts w:cs="David" w:hint="cs"/>
          <w:rtl/>
        </w:rPr>
        <w:t xml:space="preserve"> </w:t>
      </w:r>
      <w:r w:rsidRPr="00CD3859">
        <w:rPr>
          <w:rFonts w:cs="David" w:hint="eastAsia"/>
          <w:rtl/>
        </w:rPr>
        <w:t>בנבו</w:t>
      </w:r>
      <w:r w:rsidRPr="00CD3859">
        <w:rPr>
          <w:rFonts w:cs="David"/>
          <w:rtl/>
        </w:rPr>
        <w:t xml:space="preserve">] </w:t>
      </w:r>
      <w:r w:rsidRPr="00CD3859">
        <w:rPr>
          <w:rFonts w:cs="David" w:hint="cs"/>
          <w:rtl/>
        </w:rPr>
        <w:t xml:space="preserve">(12.8.17)).  </w:t>
      </w:r>
    </w:p>
    <w:p w:rsidR="00387C5E" w:rsidRDefault="00A16D11" w:rsidP="00A16D11">
      <w:pPr>
        <w:spacing w:before="240" w:after="200" w:line="360" w:lineRule="auto"/>
        <w:ind w:left="360"/>
        <w:jc w:val="both"/>
        <w:rPr>
          <w:rFonts w:cs="David"/>
        </w:rPr>
      </w:pPr>
      <w:r>
        <w:rPr>
          <w:rFonts w:cs="David" w:hint="cs"/>
          <w:rtl/>
        </w:rPr>
        <w:t>התובע לא עמד בנטל מוגבר זה.</w:t>
      </w:r>
    </w:p>
    <w:p w:rsidR="00F66E30" w:rsidRPr="00A16D11" w:rsidRDefault="00A16D11" w:rsidP="00A16D11">
      <w:pPr>
        <w:spacing w:after="200" w:line="360" w:lineRule="auto"/>
        <w:ind w:left="360"/>
        <w:jc w:val="both"/>
        <w:rPr>
          <w:rFonts w:cs="David"/>
          <w:u w:val="single"/>
        </w:rPr>
      </w:pPr>
      <w:r w:rsidRPr="00A16D11">
        <w:rPr>
          <w:rFonts w:cs="David" w:hint="cs"/>
          <w:u w:val="single"/>
          <w:rtl/>
        </w:rPr>
        <w:t>פיצויים לפי חוק הודעה לעובד</w:t>
      </w:r>
    </w:p>
    <w:p w:rsidR="008D6B66" w:rsidRDefault="008D6B66" w:rsidP="00803CCE">
      <w:pPr>
        <w:numPr>
          <w:ilvl w:val="0"/>
          <w:numId w:val="4"/>
        </w:numPr>
        <w:spacing w:before="240" w:after="200" w:line="360" w:lineRule="auto"/>
        <w:jc w:val="both"/>
        <w:rPr>
          <w:rFonts w:cs="David"/>
        </w:rPr>
      </w:pPr>
      <w:r>
        <w:rPr>
          <w:rFonts w:cs="David" w:hint="cs"/>
          <w:rtl/>
        </w:rPr>
        <w:t xml:space="preserve">האמור בסעיף 22 על סעיפי המשנה מוכחש. </w:t>
      </w:r>
    </w:p>
    <w:p w:rsidR="00A16D11" w:rsidRDefault="00A16D11" w:rsidP="00803CCE">
      <w:pPr>
        <w:numPr>
          <w:ilvl w:val="0"/>
          <w:numId w:val="4"/>
        </w:numPr>
        <w:spacing w:before="240" w:after="200" w:line="360" w:lineRule="auto"/>
        <w:jc w:val="both"/>
        <w:rPr>
          <w:rFonts w:cs="David"/>
        </w:rPr>
      </w:pPr>
      <w:r>
        <w:rPr>
          <w:rFonts w:cs="David" w:hint="cs"/>
          <w:rtl/>
        </w:rPr>
        <w:t>לתובע נמסר הסכם עבודה</w:t>
      </w:r>
      <w:r w:rsidR="008D6B66">
        <w:rPr>
          <w:rFonts w:cs="David" w:hint="cs"/>
          <w:rtl/>
        </w:rPr>
        <w:t>,</w:t>
      </w:r>
      <w:r>
        <w:rPr>
          <w:rFonts w:cs="David" w:hint="cs"/>
          <w:rtl/>
        </w:rPr>
        <w:t xml:space="preserve"> הממלא אחר התנאים הקבועים בחוק הודעה לעובד על תנאי העבודה.</w:t>
      </w:r>
    </w:p>
    <w:p w:rsidR="00A16D11" w:rsidRDefault="00A16D11" w:rsidP="00A16D11">
      <w:pPr>
        <w:numPr>
          <w:ilvl w:val="0"/>
          <w:numId w:val="4"/>
        </w:numPr>
        <w:spacing w:before="240" w:after="200" w:line="360" w:lineRule="auto"/>
        <w:jc w:val="both"/>
        <w:rPr>
          <w:rFonts w:cs="David"/>
        </w:rPr>
      </w:pPr>
      <w:r>
        <w:rPr>
          <w:rFonts w:cs="David" w:hint="cs"/>
          <w:rtl/>
        </w:rPr>
        <w:t>כך או כך, לא ניתן לקבל את טענתו של התובע כי נגרם לו נזק בשל אי מסירת הודעה על שינוי בתנאי ההעסקה, שכן מדובר ברכיבי שכר המופיעים במפורט ובמפורש מדי חודש בחודשו בתלושי השכר, כך שלא ניתן לומר שבוצע שינוי כלשהו שהתובע לא היה מודע אליו.</w:t>
      </w:r>
    </w:p>
    <w:p w:rsidR="00A16D11" w:rsidRDefault="008D6B66" w:rsidP="00803CCE">
      <w:pPr>
        <w:numPr>
          <w:ilvl w:val="0"/>
          <w:numId w:val="4"/>
        </w:numPr>
        <w:spacing w:before="240" w:after="200" w:line="360" w:lineRule="auto"/>
        <w:jc w:val="both"/>
        <w:rPr>
          <w:rFonts w:cs="David"/>
        </w:rPr>
      </w:pPr>
      <w:r>
        <w:rPr>
          <w:rFonts w:cs="David" w:hint="cs"/>
          <w:rtl/>
        </w:rPr>
        <w:t xml:space="preserve">בנוסף, השינוי בוצע אגב </w:t>
      </w:r>
      <w:r w:rsidRPr="008D6B66">
        <w:rPr>
          <w:rFonts w:cs="David" w:hint="cs"/>
          <w:b/>
          <w:bCs/>
          <w:rtl/>
        </w:rPr>
        <w:t>שיפור</w:t>
      </w:r>
      <w:r>
        <w:rPr>
          <w:rFonts w:cs="David" w:hint="cs"/>
          <w:rtl/>
        </w:rPr>
        <w:t xml:space="preserve"> בתנאי השכר והעלאת שכר הבסיס ודמי הנסיעות, כך שבוודאי אין לומר כי נגרם לתובע נזק כלשהו.</w:t>
      </w:r>
    </w:p>
    <w:p w:rsidR="008D6B66" w:rsidRPr="008D6B66" w:rsidRDefault="008D6B66" w:rsidP="008D6B66">
      <w:pPr>
        <w:spacing w:after="200" w:line="360" w:lineRule="auto"/>
        <w:ind w:left="360"/>
        <w:jc w:val="both"/>
        <w:rPr>
          <w:rFonts w:cs="David"/>
          <w:u w:val="single"/>
        </w:rPr>
      </w:pPr>
      <w:r w:rsidRPr="008D6B66">
        <w:rPr>
          <w:rFonts w:cs="David" w:hint="cs"/>
          <w:u w:val="single"/>
          <w:rtl/>
        </w:rPr>
        <w:lastRenderedPageBreak/>
        <w:t>פיצויי-פיטורים</w:t>
      </w:r>
    </w:p>
    <w:p w:rsidR="008D6B66" w:rsidRDefault="008D6B66" w:rsidP="00803CCE">
      <w:pPr>
        <w:numPr>
          <w:ilvl w:val="0"/>
          <w:numId w:val="4"/>
        </w:numPr>
        <w:spacing w:before="240" w:after="200" w:line="360" w:lineRule="auto"/>
        <w:jc w:val="both"/>
        <w:rPr>
          <w:rFonts w:cs="David"/>
        </w:rPr>
      </w:pPr>
      <w:r>
        <w:rPr>
          <w:rFonts w:cs="David" w:hint="cs"/>
          <w:rtl/>
        </w:rPr>
        <w:t>האמור בסעיף 23 על סעיפי המשנה מוכחש.</w:t>
      </w:r>
    </w:p>
    <w:p w:rsidR="008D6B66" w:rsidRDefault="008D6B66" w:rsidP="00803CCE">
      <w:pPr>
        <w:numPr>
          <w:ilvl w:val="0"/>
          <w:numId w:val="4"/>
        </w:numPr>
        <w:spacing w:before="240" w:after="200" w:line="360" w:lineRule="auto"/>
        <w:jc w:val="both"/>
        <w:rPr>
          <w:rFonts w:cs="David"/>
        </w:rPr>
      </w:pPr>
      <w:r>
        <w:rPr>
          <w:rFonts w:cs="David" w:hint="cs"/>
          <w:rtl/>
        </w:rPr>
        <w:t>התובע התפטר ולא פוטר ועל כן אינו זכאי כלל לתשלום פיצויי פיטורים.</w:t>
      </w:r>
    </w:p>
    <w:p w:rsidR="00964F10" w:rsidRDefault="00964F10" w:rsidP="00803CCE">
      <w:pPr>
        <w:numPr>
          <w:ilvl w:val="0"/>
          <w:numId w:val="4"/>
        </w:numPr>
        <w:spacing w:before="240" w:after="200" w:line="360" w:lineRule="auto"/>
        <w:jc w:val="both"/>
        <w:rPr>
          <w:rFonts w:cs="David"/>
        </w:rPr>
      </w:pPr>
      <w:r>
        <w:rPr>
          <w:rFonts w:cs="David" w:hint="cs"/>
          <w:rtl/>
        </w:rPr>
        <w:t>מוכחש גם התחשיב שערך התובע, המבוסס על שכר מנופח שאינו השכר אותו השתכר התובע בפועל.</w:t>
      </w:r>
    </w:p>
    <w:p w:rsidR="00964F10" w:rsidRPr="008D6B66" w:rsidRDefault="00964F10" w:rsidP="00964F10">
      <w:pPr>
        <w:spacing w:after="200" w:line="360" w:lineRule="auto"/>
        <w:ind w:left="360"/>
        <w:jc w:val="both"/>
        <w:rPr>
          <w:rFonts w:cs="David"/>
          <w:u w:val="single"/>
        </w:rPr>
      </w:pPr>
      <w:r>
        <w:rPr>
          <w:rFonts w:cs="David" w:hint="cs"/>
          <w:u w:val="single"/>
          <w:rtl/>
        </w:rPr>
        <w:t>פיצוי בגין אי עריכת שימוע</w:t>
      </w:r>
    </w:p>
    <w:p w:rsidR="00964F10" w:rsidRDefault="00964F10" w:rsidP="00964F10">
      <w:pPr>
        <w:numPr>
          <w:ilvl w:val="0"/>
          <w:numId w:val="4"/>
        </w:numPr>
        <w:spacing w:before="240" w:after="200" w:line="360" w:lineRule="auto"/>
        <w:jc w:val="both"/>
        <w:rPr>
          <w:rFonts w:cs="David"/>
        </w:rPr>
      </w:pPr>
      <w:r>
        <w:rPr>
          <w:rFonts w:cs="David" w:hint="cs"/>
          <w:rtl/>
        </w:rPr>
        <w:t>האמור בסעיף 24 על סעיפי המשנה מוכחש.</w:t>
      </w:r>
    </w:p>
    <w:p w:rsidR="00964F10" w:rsidRDefault="00964F10" w:rsidP="00964F10">
      <w:pPr>
        <w:numPr>
          <w:ilvl w:val="0"/>
          <w:numId w:val="4"/>
        </w:numPr>
        <w:spacing w:before="240" w:after="200" w:line="360" w:lineRule="auto"/>
        <w:jc w:val="both"/>
        <w:rPr>
          <w:rFonts w:cs="David"/>
        </w:rPr>
      </w:pPr>
      <w:r>
        <w:rPr>
          <w:rFonts w:cs="David" w:hint="cs"/>
          <w:rtl/>
        </w:rPr>
        <w:t>התובע התפטר ולא פוטר ועל כן לא היה על הנתבעת לערוך לו שימוע והוא אינו זכאי לכל פיצוי בעניין.</w:t>
      </w:r>
    </w:p>
    <w:p w:rsidR="00964F10" w:rsidRPr="008D6B66" w:rsidRDefault="00964F10" w:rsidP="00964F10">
      <w:pPr>
        <w:spacing w:after="200" w:line="360" w:lineRule="auto"/>
        <w:ind w:left="360"/>
        <w:jc w:val="both"/>
        <w:rPr>
          <w:rFonts w:cs="David"/>
          <w:u w:val="single"/>
        </w:rPr>
      </w:pPr>
      <w:r>
        <w:rPr>
          <w:rFonts w:cs="David" w:hint="cs"/>
          <w:u w:val="single"/>
          <w:rtl/>
        </w:rPr>
        <w:t>פיצוי בגין פיטורים שלא כדין</w:t>
      </w:r>
    </w:p>
    <w:p w:rsidR="00964F10" w:rsidRDefault="00964F10" w:rsidP="00964F10">
      <w:pPr>
        <w:numPr>
          <w:ilvl w:val="0"/>
          <w:numId w:val="4"/>
        </w:numPr>
        <w:spacing w:before="240" w:after="200" w:line="360" w:lineRule="auto"/>
        <w:jc w:val="both"/>
        <w:rPr>
          <w:rFonts w:cs="David"/>
        </w:rPr>
      </w:pPr>
      <w:r>
        <w:rPr>
          <w:rFonts w:cs="David" w:hint="cs"/>
          <w:rtl/>
        </w:rPr>
        <w:t>האמור בסעיף 25 על סעיפי המשנה מוכחש.</w:t>
      </w:r>
    </w:p>
    <w:p w:rsidR="00964F10" w:rsidRDefault="00964F10" w:rsidP="00964F10">
      <w:pPr>
        <w:numPr>
          <w:ilvl w:val="0"/>
          <w:numId w:val="4"/>
        </w:numPr>
        <w:spacing w:before="240" w:after="200" w:line="360" w:lineRule="auto"/>
        <w:jc w:val="both"/>
        <w:rPr>
          <w:rFonts w:cs="David"/>
        </w:rPr>
      </w:pPr>
      <w:r>
        <w:rPr>
          <w:rFonts w:cs="David" w:hint="cs"/>
          <w:rtl/>
        </w:rPr>
        <w:t>התובע התפטר ולא פוטר ועל כן אינו זכאי לפיצוי בגין פיטורים שלא כדין.</w:t>
      </w:r>
    </w:p>
    <w:p w:rsidR="00964F10" w:rsidRPr="008D6B66" w:rsidRDefault="00964F10" w:rsidP="00964F10">
      <w:pPr>
        <w:spacing w:after="200" w:line="360" w:lineRule="auto"/>
        <w:ind w:left="360"/>
        <w:jc w:val="both"/>
        <w:rPr>
          <w:rFonts w:cs="David"/>
          <w:u w:val="single"/>
        </w:rPr>
      </w:pPr>
      <w:r>
        <w:rPr>
          <w:rFonts w:cs="David" w:hint="cs"/>
          <w:u w:val="single"/>
          <w:rtl/>
        </w:rPr>
        <w:t>הודעה מוקדמת</w:t>
      </w:r>
    </w:p>
    <w:p w:rsidR="00964F10" w:rsidRDefault="00964F10" w:rsidP="00964F10">
      <w:pPr>
        <w:numPr>
          <w:ilvl w:val="0"/>
          <w:numId w:val="4"/>
        </w:numPr>
        <w:spacing w:before="240" w:after="200" w:line="360" w:lineRule="auto"/>
        <w:jc w:val="both"/>
        <w:rPr>
          <w:rFonts w:cs="David"/>
        </w:rPr>
      </w:pPr>
      <w:r>
        <w:rPr>
          <w:rFonts w:cs="David" w:hint="cs"/>
          <w:rtl/>
        </w:rPr>
        <w:t>האמור בסעיף 26 מוכחש.</w:t>
      </w:r>
    </w:p>
    <w:p w:rsidR="00964F10" w:rsidRDefault="00964F10" w:rsidP="00BA27CE">
      <w:pPr>
        <w:numPr>
          <w:ilvl w:val="0"/>
          <w:numId w:val="4"/>
        </w:numPr>
        <w:spacing w:before="240" w:after="200" w:line="360" w:lineRule="auto"/>
        <w:jc w:val="both"/>
        <w:rPr>
          <w:rFonts w:cs="David"/>
        </w:rPr>
      </w:pPr>
      <w:r>
        <w:rPr>
          <w:rFonts w:cs="David" w:hint="cs"/>
          <w:rtl/>
        </w:rPr>
        <w:t>התובע התפטר ולא פוטר ועל כן הוא היה צריך ליתן לנתבעת הודעה מוקדמת ולא להיפך. הנתבעת מודיעה בזאת ע</w:t>
      </w:r>
      <w:r w:rsidR="00BA27CE">
        <w:rPr>
          <w:rFonts w:cs="David" w:hint="cs"/>
          <w:rtl/>
        </w:rPr>
        <w:t>ל קיזוז דמי הודעה מוקדמת</w:t>
      </w:r>
      <w:r w:rsidR="00DF5CFA">
        <w:rPr>
          <w:rFonts w:cs="David" w:hint="cs"/>
          <w:rtl/>
        </w:rPr>
        <w:t xml:space="preserve">, בסך </w:t>
      </w:r>
      <w:r w:rsidR="00BA27CE">
        <w:rPr>
          <w:rFonts w:cs="David" w:hint="cs"/>
          <w:rtl/>
        </w:rPr>
        <w:t>12,200 ₪</w:t>
      </w:r>
      <w:r w:rsidR="00FD31F1">
        <w:rPr>
          <w:rFonts w:cs="David" w:hint="cs"/>
          <w:rtl/>
        </w:rPr>
        <w:t>.</w:t>
      </w:r>
    </w:p>
    <w:p w:rsidR="00FD31F1" w:rsidRPr="008D6B66" w:rsidRDefault="00FD31F1" w:rsidP="00FD31F1">
      <w:pPr>
        <w:spacing w:after="200" w:line="360" w:lineRule="auto"/>
        <w:ind w:left="360"/>
        <w:jc w:val="both"/>
        <w:rPr>
          <w:rFonts w:cs="David"/>
          <w:u w:val="single"/>
        </w:rPr>
      </w:pPr>
      <w:r>
        <w:rPr>
          <w:rFonts w:cs="David" w:hint="cs"/>
          <w:u w:val="single"/>
          <w:rtl/>
        </w:rPr>
        <w:t>דמי הבראה</w:t>
      </w:r>
    </w:p>
    <w:p w:rsidR="00FD31F1" w:rsidRDefault="00FD31F1" w:rsidP="00FD31F1">
      <w:pPr>
        <w:numPr>
          <w:ilvl w:val="0"/>
          <w:numId w:val="4"/>
        </w:numPr>
        <w:spacing w:before="240" w:after="200" w:line="360" w:lineRule="auto"/>
        <w:jc w:val="both"/>
        <w:rPr>
          <w:rFonts w:cs="David"/>
        </w:rPr>
      </w:pPr>
      <w:r>
        <w:rPr>
          <w:rFonts w:cs="David" w:hint="cs"/>
          <w:rtl/>
        </w:rPr>
        <w:t>האמור בסעיף 27 על סעיפי המשנה מוכחש.</w:t>
      </w:r>
    </w:p>
    <w:p w:rsidR="00FD31F1" w:rsidRDefault="003636AF" w:rsidP="003636AF">
      <w:pPr>
        <w:numPr>
          <w:ilvl w:val="0"/>
          <w:numId w:val="4"/>
        </w:numPr>
        <w:spacing w:before="240" w:after="200" w:line="360" w:lineRule="auto"/>
        <w:jc w:val="both"/>
        <w:rPr>
          <w:rFonts w:cs="David"/>
        </w:rPr>
      </w:pPr>
      <w:r>
        <w:rPr>
          <w:rFonts w:cs="David" w:hint="cs"/>
          <w:rtl/>
        </w:rPr>
        <w:t>טענת התובע שגויה מיסודה. בחודש 4/2018 שולמו לתובע דמי הבראה בגין 11.64 ימי הבראה לפי ערך יום של 378 ₪ ברוטו ליום, המהווים 250 ₪ נטו ליום ולכן הדברים נרשמו כך בתלוש</w:t>
      </w:r>
      <w:r w:rsidR="00FD31F1">
        <w:rPr>
          <w:rFonts w:cs="David" w:hint="cs"/>
          <w:rtl/>
        </w:rPr>
        <w:t xml:space="preserve">. </w:t>
      </w:r>
    </w:p>
    <w:p w:rsidR="00156A05" w:rsidRDefault="003636AF" w:rsidP="003636AF">
      <w:pPr>
        <w:spacing w:after="200" w:line="360" w:lineRule="auto"/>
        <w:ind w:left="360"/>
        <w:jc w:val="both"/>
        <w:rPr>
          <w:rFonts w:cs="David"/>
          <w:u w:val="single"/>
          <w:rtl/>
        </w:rPr>
      </w:pPr>
      <w:r>
        <w:rPr>
          <w:rFonts w:cs="David" w:hint="cs"/>
          <w:u w:val="single"/>
          <w:rtl/>
        </w:rPr>
        <w:t>פדיון חופשה שנתית</w:t>
      </w:r>
    </w:p>
    <w:p w:rsidR="003636AF" w:rsidRDefault="003636AF" w:rsidP="003636AF">
      <w:pPr>
        <w:numPr>
          <w:ilvl w:val="0"/>
          <w:numId w:val="4"/>
        </w:numPr>
        <w:spacing w:before="240" w:after="200" w:line="360" w:lineRule="auto"/>
        <w:jc w:val="both"/>
        <w:rPr>
          <w:rFonts w:cs="David"/>
        </w:rPr>
      </w:pPr>
      <w:r>
        <w:rPr>
          <w:rFonts w:cs="David" w:hint="cs"/>
          <w:rtl/>
        </w:rPr>
        <w:t>האמור בסעיף 28 על סעיפי המשנה מוכ</w:t>
      </w:r>
      <w:bookmarkStart w:id="0" w:name="_GoBack"/>
      <w:bookmarkEnd w:id="0"/>
      <w:r>
        <w:rPr>
          <w:rFonts w:cs="David" w:hint="cs"/>
          <w:rtl/>
        </w:rPr>
        <w:t>חש.</w:t>
      </w:r>
    </w:p>
    <w:p w:rsidR="00DF5CFA" w:rsidRDefault="00DF5CFA" w:rsidP="00DF5CFA">
      <w:pPr>
        <w:numPr>
          <w:ilvl w:val="0"/>
          <w:numId w:val="4"/>
        </w:numPr>
        <w:spacing w:before="240" w:after="200" w:line="360" w:lineRule="auto"/>
        <w:jc w:val="both"/>
        <w:rPr>
          <w:rFonts w:cs="David"/>
        </w:rPr>
      </w:pPr>
      <w:r w:rsidRPr="00DF5CFA">
        <w:rPr>
          <w:rFonts w:cs="David" w:hint="cs"/>
          <w:rtl/>
        </w:rPr>
        <w:t xml:space="preserve">בתלושי השכר של התובע נערך מעקב אחר צבירה וניצול של ימי החופשה של התובע. התובע ניצל ימי חופשה רבים, וככל הנראה זכרונו מטעה אותו. </w:t>
      </w:r>
      <w:r w:rsidR="00803CCE" w:rsidRPr="00DF5CFA">
        <w:rPr>
          <w:rFonts w:cs="David" w:hint="cs"/>
          <w:rtl/>
        </w:rPr>
        <w:t xml:space="preserve">ככל </w:t>
      </w:r>
      <w:r>
        <w:rPr>
          <w:rFonts w:cs="David" w:hint="cs"/>
          <w:rtl/>
        </w:rPr>
        <w:t>ש</w:t>
      </w:r>
      <w:r w:rsidR="00803CCE" w:rsidRPr="00DF5CFA">
        <w:rPr>
          <w:rFonts w:cs="David" w:hint="cs"/>
          <w:rtl/>
        </w:rPr>
        <w:t>היו ל</w:t>
      </w:r>
      <w:r>
        <w:rPr>
          <w:rFonts w:cs="David" w:hint="cs"/>
          <w:rtl/>
        </w:rPr>
        <w:t>תובע</w:t>
      </w:r>
      <w:r w:rsidR="00803CCE" w:rsidRPr="00DF5CFA">
        <w:rPr>
          <w:rFonts w:cs="David" w:hint="cs"/>
          <w:rtl/>
        </w:rPr>
        <w:t xml:space="preserve"> טענות בעניין זה היה עליו לדרוש את התיקון בעת קבלת תלוש השכר, דבר שלא נעשה.</w:t>
      </w:r>
    </w:p>
    <w:p w:rsidR="00803CCE" w:rsidRDefault="00DF5CFA" w:rsidP="00DF5CFA">
      <w:pPr>
        <w:numPr>
          <w:ilvl w:val="0"/>
          <w:numId w:val="4"/>
        </w:numPr>
        <w:spacing w:before="240" w:after="200" w:line="360" w:lineRule="auto"/>
        <w:jc w:val="both"/>
        <w:rPr>
          <w:rFonts w:cs="David"/>
        </w:rPr>
      </w:pPr>
      <w:r>
        <w:rPr>
          <w:rFonts w:cs="David" w:hint="cs"/>
          <w:rtl/>
        </w:rPr>
        <w:lastRenderedPageBreak/>
        <w:t>התובע סיים את עבודתו עם יתרה שלילית של 18 ימי חופשה</w:t>
      </w:r>
      <w:r w:rsidR="007C434F">
        <w:rPr>
          <w:rFonts w:cs="David" w:hint="cs"/>
          <w:rtl/>
        </w:rPr>
        <w:t xml:space="preserve"> </w:t>
      </w:r>
      <w:r>
        <w:rPr>
          <w:rFonts w:cs="David" w:hint="cs"/>
          <w:rtl/>
        </w:rPr>
        <w:t xml:space="preserve">והנתבעת מודיעה בזאת על קיזוז שווי ימי החופשה בסך של </w:t>
      </w:r>
      <w:r w:rsidR="00BA27CE">
        <w:rPr>
          <w:rFonts w:cs="David" w:hint="cs"/>
          <w:rtl/>
        </w:rPr>
        <w:t>8,981 ₪.</w:t>
      </w:r>
    </w:p>
    <w:p w:rsidR="00D762AA" w:rsidRPr="00D762AA" w:rsidRDefault="00D762AA" w:rsidP="006A7F9B">
      <w:pPr>
        <w:spacing w:before="240" w:after="200" w:line="360" w:lineRule="auto"/>
        <w:ind w:left="360"/>
        <w:jc w:val="both"/>
        <w:rPr>
          <w:rFonts w:cs="David"/>
          <w:b/>
          <w:bCs/>
        </w:rPr>
      </w:pPr>
      <w:r w:rsidRPr="00D762AA">
        <w:rPr>
          <w:rFonts w:cs="David" w:hint="cs"/>
          <w:b/>
          <w:bCs/>
          <w:rtl/>
        </w:rPr>
        <w:t xml:space="preserve">פנקס חופשה של התובע </w:t>
      </w:r>
      <w:r w:rsidRPr="00D762AA">
        <w:rPr>
          <w:rFonts w:cs="David"/>
          <w:b/>
          <w:bCs/>
          <w:rtl/>
        </w:rPr>
        <w:t>–</w:t>
      </w:r>
      <w:r w:rsidRPr="00D762AA">
        <w:rPr>
          <w:rFonts w:cs="David" w:hint="cs"/>
          <w:b/>
          <w:bCs/>
          <w:rtl/>
        </w:rPr>
        <w:t xml:space="preserve"> מצ"ב כנספח </w:t>
      </w:r>
      <w:r w:rsidR="006A7F9B">
        <w:rPr>
          <w:rFonts w:cs="David" w:hint="cs"/>
          <w:b/>
          <w:bCs/>
          <w:rtl/>
        </w:rPr>
        <w:t>2</w:t>
      </w:r>
    </w:p>
    <w:p w:rsidR="00BA27CE" w:rsidRPr="008D6B66" w:rsidRDefault="00BA27CE" w:rsidP="00BA27CE">
      <w:pPr>
        <w:spacing w:after="200" w:line="360" w:lineRule="auto"/>
        <w:ind w:left="360"/>
        <w:jc w:val="both"/>
        <w:rPr>
          <w:rFonts w:cs="David"/>
          <w:u w:val="single"/>
        </w:rPr>
      </w:pPr>
      <w:r>
        <w:rPr>
          <w:rFonts w:cs="David" w:hint="cs"/>
          <w:u w:val="single"/>
          <w:rtl/>
        </w:rPr>
        <w:t>הפרשות לפנסיה</w:t>
      </w:r>
    </w:p>
    <w:p w:rsidR="00BA27CE" w:rsidRDefault="00BA27CE" w:rsidP="00BA27CE">
      <w:pPr>
        <w:numPr>
          <w:ilvl w:val="0"/>
          <w:numId w:val="4"/>
        </w:numPr>
        <w:spacing w:before="240" w:after="200" w:line="360" w:lineRule="auto"/>
        <w:jc w:val="both"/>
        <w:rPr>
          <w:rFonts w:cs="David"/>
        </w:rPr>
      </w:pPr>
      <w:r>
        <w:rPr>
          <w:rFonts w:cs="David" w:hint="cs"/>
          <w:rtl/>
        </w:rPr>
        <w:t>האמור בסעיף 29 על סעיפי המשנה מוכחש.</w:t>
      </w:r>
    </w:p>
    <w:p w:rsidR="00BA27CE" w:rsidRDefault="006A04E5" w:rsidP="00DF5CFA">
      <w:pPr>
        <w:numPr>
          <w:ilvl w:val="0"/>
          <w:numId w:val="4"/>
        </w:numPr>
        <w:spacing w:before="240" w:after="200" w:line="360" w:lineRule="auto"/>
        <w:jc w:val="both"/>
        <w:rPr>
          <w:rFonts w:cs="David"/>
        </w:rPr>
      </w:pPr>
      <w:r>
        <w:rPr>
          <w:rFonts w:cs="David" w:hint="cs"/>
          <w:rtl/>
        </w:rPr>
        <w:t>התובע היה זכאי להפרשות לפנסיה החל מחודש 2/2014 בלבד, קרי לאחר השלמת 6 חודשי עבודה. התובע מעולם לא טען ולא הגיש מסמכים המעידים על קיומה של קרן פנסיה פעילה קודמת ואף אינו טוען כך כעת.</w:t>
      </w:r>
      <w:r w:rsidR="003147F0">
        <w:rPr>
          <w:rFonts w:cs="David" w:hint="cs"/>
          <w:rtl/>
        </w:rPr>
        <w:t xml:space="preserve"> בטעות החלה הנתבעת את הביטוח הפנסיוני של התובע מחודש 6/2014 בלבד.</w:t>
      </w:r>
    </w:p>
    <w:p w:rsidR="003147F0" w:rsidRDefault="003147F0" w:rsidP="00B37EE9">
      <w:pPr>
        <w:numPr>
          <w:ilvl w:val="0"/>
          <w:numId w:val="4"/>
        </w:numPr>
        <w:spacing w:before="240" w:after="200" w:line="360" w:lineRule="auto"/>
        <w:jc w:val="both"/>
        <w:rPr>
          <w:rFonts w:cs="David"/>
        </w:rPr>
      </w:pPr>
      <w:r>
        <w:rPr>
          <w:rFonts w:cs="David" w:hint="cs"/>
          <w:rtl/>
        </w:rPr>
        <w:t>התובע זכאי, איפוא, להשלמת הפרשות מעביד בגין חודשים 2/2014 עד 5/2014, כך:</w:t>
      </w:r>
      <w:r w:rsidR="00B37EE9">
        <w:rPr>
          <w:rFonts w:cs="David" w:hint="cs"/>
          <w:rtl/>
        </w:rPr>
        <w:t xml:space="preserve"> 8,955 ₪ גובה השכר הממוצע במשק באותה עת</w:t>
      </w:r>
      <w:r w:rsidR="00B37EE9">
        <w:rPr>
          <w:rFonts w:cs="David"/>
        </w:rPr>
        <w:t xml:space="preserve">X </w:t>
      </w:r>
      <w:r w:rsidR="00B37EE9">
        <w:rPr>
          <w:rFonts w:cs="David" w:hint="cs"/>
          <w:rtl/>
        </w:rPr>
        <w:t xml:space="preserve"> 4 חודשים</w:t>
      </w:r>
      <w:r w:rsidR="00B37EE9">
        <w:rPr>
          <w:rFonts w:cs="David"/>
        </w:rPr>
        <w:t>X</w:t>
      </w:r>
      <w:r>
        <w:rPr>
          <w:rFonts w:cs="David" w:hint="cs"/>
          <w:rtl/>
        </w:rPr>
        <w:t xml:space="preserve"> 5.5% תגמולי מעסיק = </w:t>
      </w:r>
      <w:r w:rsidR="00B37EE9">
        <w:rPr>
          <w:rFonts w:cs="David" w:hint="cs"/>
          <w:rtl/>
        </w:rPr>
        <w:t>1</w:t>
      </w:r>
      <w:r>
        <w:rPr>
          <w:rFonts w:cs="David" w:hint="cs"/>
          <w:rtl/>
        </w:rPr>
        <w:t>,</w:t>
      </w:r>
      <w:r w:rsidR="00B37EE9">
        <w:rPr>
          <w:rFonts w:cs="David" w:hint="cs"/>
          <w:rtl/>
        </w:rPr>
        <w:t>970</w:t>
      </w:r>
      <w:r>
        <w:rPr>
          <w:rFonts w:cs="David" w:hint="cs"/>
          <w:rtl/>
        </w:rPr>
        <w:t xml:space="preserve"> ₪. סכום זה מקוזז כנגד הסכומים שהתובע חב לנתבעת, כמתואר לעיל.</w:t>
      </w:r>
    </w:p>
    <w:p w:rsidR="00172AB3" w:rsidRDefault="00172AB3" w:rsidP="00B37EE9">
      <w:pPr>
        <w:numPr>
          <w:ilvl w:val="0"/>
          <w:numId w:val="4"/>
        </w:numPr>
        <w:spacing w:before="240" w:after="200" w:line="360" w:lineRule="auto"/>
        <w:jc w:val="both"/>
        <w:rPr>
          <w:rFonts w:cs="David"/>
        </w:rPr>
      </w:pPr>
      <w:r>
        <w:rPr>
          <w:rFonts w:cs="David" w:hint="cs"/>
          <w:rtl/>
        </w:rPr>
        <w:t>תחשיב התובע אינו ברור ואין זה ברור על בסיס מה טוען התובע לזכאות להפרשת מעביד בשיעור 6% לאורך כל תקופת העבודה, שכן אף מכוח צו ההרחבה אליו מפנה התובע לא קיימת זכאות כזו.</w:t>
      </w:r>
    </w:p>
    <w:p w:rsidR="009A6351" w:rsidRPr="008D6B66" w:rsidRDefault="009A6351" w:rsidP="009A6351">
      <w:pPr>
        <w:spacing w:after="200" w:line="360" w:lineRule="auto"/>
        <w:ind w:left="360"/>
        <w:jc w:val="both"/>
        <w:rPr>
          <w:rFonts w:cs="David"/>
          <w:u w:val="single"/>
        </w:rPr>
      </w:pPr>
      <w:r>
        <w:rPr>
          <w:rFonts w:cs="David" w:hint="cs"/>
          <w:u w:val="single"/>
          <w:rtl/>
        </w:rPr>
        <w:t>גמול שעות נוספות</w:t>
      </w:r>
    </w:p>
    <w:p w:rsidR="009A6351" w:rsidRDefault="009A6351" w:rsidP="009A6351">
      <w:pPr>
        <w:numPr>
          <w:ilvl w:val="0"/>
          <w:numId w:val="4"/>
        </w:numPr>
        <w:spacing w:before="240" w:after="200" w:line="360" w:lineRule="auto"/>
        <w:jc w:val="both"/>
        <w:rPr>
          <w:rFonts w:cs="David"/>
        </w:rPr>
      </w:pPr>
      <w:r>
        <w:rPr>
          <w:rFonts w:cs="David" w:hint="cs"/>
          <w:rtl/>
        </w:rPr>
        <w:t>האמור בסעיף 30 על סעיפי המשנה מוכחש.</w:t>
      </w:r>
      <w:r w:rsidR="00DB734C">
        <w:rPr>
          <w:rFonts w:cs="David" w:hint="cs"/>
          <w:rtl/>
        </w:rPr>
        <w:t xml:space="preserve"> מוכחש גם תחשיב התובע אשר מתעלם מתקופות המחלה הארוכות בהן שהה וימי החופשה אותם נטל, לרבות חופשה ללא תשלום בת חודש ימים, החל מיום 15/8/2017 ועד ליום 14/9/2017. כמו כן, תחשיב התובע אינו מפחית חצי שעת הפסקה אותה קיבל התובע מדי יום עבודה.</w:t>
      </w:r>
    </w:p>
    <w:p w:rsidR="00B37EE9" w:rsidRPr="008D6B66" w:rsidRDefault="00B37EE9" w:rsidP="00B37EE9">
      <w:pPr>
        <w:spacing w:after="200" w:line="360" w:lineRule="auto"/>
        <w:ind w:left="360"/>
        <w:jc w:val="both"/>
        <w:rPr>
          <w:rFonts w:cs="David"/>
          <w:u w:val="single"/>
        </w:rPr>
      </w:pPr>
      <w:r>
        <w:rPr>
          <w:rFonts w:cs="David" w:hint="cs"/>
          <w:u w:val="single"/>
          <w:rtl/>
        </w:rPr>
        <w:t>הפסד זכויות מביטוח לאומי</w:t>
      </w:r>
    </w:p>
    <w:p w:rsidR="00B37EE9" w:rsidRDefault="00B37EE9" w:rsidP="00B37EE9">
      <w:pPr>
        <w:numPr>
          <w:ilvl w:val="0"/>
          <w:numId w:val="4"/>
        </w:numPr>
        <w:spacing w:before="240" w:after="200" w:line="360" w:lineRule="auto"/>
        <w:jc w:val="both"/>
        <w:rPr>
          <w:rFonts w:cs="David"/>
        </w:rPr>
      </w:pPr>
      <w:r>
        <w:rPr>
          <w:rFonts w:cs="David" w:hint="cs"/>
          <w:rtl/>
        </w:rPr>
        <w:t>האמור בסעיף 31 על סעיפי המשנה מוכחש.</w:t>
      </w:r>
    </w:p>
    <w:p w:rsidR="009A6351" w:rsidRDefault="00B37EE9" w:rsidP="00803CCE">
      <w:pPr>
        <w:numPr>
          <w:ilvl w:val="0"/>
          <w:numId w:val="4"/>
        </w:numPr>
        <w:spacing w:before="240" w:after="200" w:line="360" w:lineRule="auto"/>
        <w:jc w:val="both"/>
        <w:rPr>
          <w:rFonts w:cs="David"/>
        </w:rPr>
      </w:pPr>
      <w:r>
        <w:rPr>
          <w:rFonts w:cs="David" w:hint="cs"/>
          <w:rtl/>
        </w:rPr>
        <w:t>התובע לא פוטר ועל כן אין לנתבעת כל אחריות בעניין</w:t>
      </w:r>
      <w:r w:rsidR="00C16CA1">
        <w:rPr>
          <w:rFonts w:cs="David" w:hint="cs"/>
          <w:rtl/>
        </w:rPr>
        <w:t>. ממילא ידוע לנתבעת כי התובע החל לעבוד עבור מעסיק אחר עוד בתקופת המחלה שלו, כך שממילא לא היה זכאי לדמי אבטלה.</w:t>
      </w:r>
    </w:p>
    <w:p w:rsidR="00C16CA1" w:rsidRDefault="00C16CA1" w:rsidP="00803CCE">
      <w:pPr>
        <w:numPr>
          <w:ilvl w:val="0"/>
          <w:numId w:val="4"/>
        </w:numPr>
        <w:spacing w:before="240" w:after="200" w:line="360" w:lineRule="auto"/>
        <w:jc w:val="both"/>
        <w:rPr>
          <w:rFonts w:cs="David"/>
        </w:rPr>
      </w:pPr>
      <w:r>
        <w:rPr>
          <w:rFonts w:cs="David" w:hint="cs"/>
          <w:rtl/>
        </w:rPr>
        <w:t>האמור בסעיפים 32 עד 36 לכתב התביעה מוכחש. אין זה ברור על סמך מה טוען התובע לזכאותו לתשלום סכומים שתבע ב"נטו" ואין לכך כל בסיס עובדתי או משפטי.</w:t>
      </w:r>
    </w:p>
    <w:p w:rsidR="00445D4A" w:rsidRDefault="00445D4A" w:rsidP="00445D4A">
      <w:pPr>
        <w:numPr>
          <w:ilvl w:val="0"/>
          <w:numId w:val="4"/>
        </w:numPr>
        <w:spacing w:after="200" w:line="360" w:lineRule="auto"/>
        <w:jc w:val="both"/>
        <w:rPr>
          <w:rFonts w:cs="David"/>
        </w:rPr>
      </w:pPr>
      <w:r>
        <w:rPr>
          <w:rFonts w:cs="David" w:hint="cs"/>
          <w:rtl/>
        </w:rPr>
        <w:t>הנתבעת תטען כי ככל שייקבע כי התובע זכאי לסכום כלשהו מסכומי התביעה, הרי שזה לא שולם על-ידה מתוך טעות כנה ומתוך מחלוקת אמיתית בדבר עצם הזכאות. לפיכך, מדובר בנסיבות בהן אין זה צודק לחייבה בתשלום פיצויי הלנה מכל סוג שהוא.</w:t>
      </w:r>
    </w:p>
    <w:p w:rsidR="00445D4A" w:rsidRDefault="00445D4A" w:rsidP="00445D4A">
      <w:pPr>
        <w:numPr>
          <w:ilvl w:val="0"/>
          <w:numId w:val="4"/>
        </w:numPr>
        <w:spacing w:after="200" w:line="360" w:lineRule="auto"/>
        <w:jc w:val="both"/>
        <w:rPr>
          <w:rFonts w:cs="David"/>
        </w:rPr>
      </w:pPr>
      <w:r>
        <w:rPr>
          <w:rFonts w:cs="David" w:hint="cs"/>
          <w:rtl/>
        </w:rPr>
        <w:lastRenderedPageBreak/>
        <w:t>כל פרט, עובדה וטענה בכתב התביעה, שהנתבעת לא הודתה בהם במפורש – מוכחשים.</w:t>
      </w:r>
    </w:p>
    <w:p w:rsidR="00445D4A" w:rsidRDefault="00445D4A" w:rsidP="00445D4A">
      <w:pPr>
        <w:numPr>
          <w:ilvl w:val="0"/>
          <w:numId w:val="4"/>
        </w:numPr>
        <w:spacing w:after="200" w:line="360" w:lineRule="auto"/>
        <w:jc w:val="both"/>
        <w:rPr>
          <w:rFonts w:cs="David"/>
        </w:rPr>
      </w:pPr>
      <w:r>
        <w:rPr>
          <w:rFonts w:cs="David" w:hint="cs"/>
          <w:rtl/>
        </w:rPr>
        <w:t>כל טענות הנתבעת בכתב ההגנה מצטברות ו/או משלימות ו/או חילופיות על פי הקשר הדברים.</w:t>
      </w:r>
    </w:p>
    <w:p w:rsidR="00445D4A" w:rsidRDefault="00445D4A" w:rsidP="00445D4A">
      <w:pPr>
        <w:numPr>
          <w:ilvl w:val="0"/>
          <w:numId w:val="4"/>
        </w:numPr>
        <w:spacing w:after="200" w:line="360" w:lineRule="auto"/>
        <w:jc w:val="both"/>
        <w:rPr>
          <w:rFonts w:cs="David"/>
        </w:rPr>
      </w:pPr>
      <w:r>
        <w:rPr>
          <w:rFonts w:cs="David" w:hint="cs"/>
          <w:rtl/>
        </w:rPr>
        <w:t>אשר על כן, מתבקש בית-הדין הנכבד לדחות את התביעה, ולחייב את התובע בהוצאות משפט ושכר-טרחת עורכי-דינה של הנתבעת.</w:t>
      </w:r>
    </w:p>
    <w:p w:rsidR="00445D4A" w:rsidRDefault="00445D4A" w:rsidP="00445D4A">
      <w:pPr>
        <w:spacing w:line="360" w:lineRule="auto"/>
        <w:jc w:val="both"/>
        <w:rPr>
          <w:rFonts w:cs="David"/>
          <w:rtl/>
        </w:rPr>
      </w:pPr>
    </w:p>
    <w:p w:rsidR="00445D4A" w:rsidRDefault="00445D4A" w:rsidP="00445D4A">
      <w:pPr>
        <w:spacing w:line="360" w:lineRule="auto"/>
        <w:jc w:val="both"/>
        <w:rPr>
          <w:rFonts w:cs="David"/>
          <w:rtl/>
        </w:rPr>
      </w:pPr>
    </w:p>
    <w:p w:rsidR="00445D4A" w:rsidRDefault="00445D4A" w:rsidP="00445D4A">
      <w:pPr>
        <w:ind w:left="2160"/>
        <w:jc w:val="both"/>
        <w:rPr>
          <w:rFonts w:cs="David"/>
          <w:b/>
          <w:bCs/>
          <w:rtl/>
        </w:rPr>
      </w:pPr>
      <w:r>
        <w:rPr>
          <w:rFonts w:cs="David" w:hint="cs"/>
          <w:b/>
          <w:bCs/>
          <w:rtl/>
        </w:rPr>
        <w:tab/>
      </w:r>
      <w:r>
        <w:rPr>
          <w:rFonts w:cs="David" w:hint="cs"/>
          <w:b/>
          <w:bCs/>
          <w:rtl/>
        </w:rPr>
        <w:tab/>
      </w:r>
      <w:r>
        <w:rPr>
          <w:rFonts w:cs="David" w:hint="cs"/>
          <w:b/>
          <w:bCs/>
          <w:rtl/>
        </w:rPr>
        <w:tab/>
      </w:r>
      <w:r>
        <w:rPr>
          <w:rFonts w:cs="David" w:hint="cs"/>
          <w:b/>
          <w:bCs/>
          <w:rtl/>
        </w:rPr>
        <w:tab/>
      </w:r>
      <w:r>
        <w:rPr>
          <w:rFonts w:cs="David" w:hint="cs"/>
          <w:b/>
          <w:bCs/>
          <w:rtl/>
        </w:rPr>
        <w:tab/>
        <w:t>__________________</w:t>
      </w:r>
    </w:p>
    <w:p w:rsidR="00445D4A" w:rsidRDefault="00445D4A" w:rsidP="00445D4A">
      <w:pPr>
        <w:ind w:left="720" w:hanging="720"/>
        <w:jc w:val="both"/>
        <w:rPr>
          <w:rFonts w:cs="David"/>
          <w:b/>
          <w:bCs/>
          <w:sz w:val="26"/>
          <w:rtl/>
        </w:rPr>
      </w:pPr>
      <w:r>
        <w:rPr>
          <w:rFonts w:cs="David" w:hint="cs"/>
          <w:b/>
          <w:bCs/>
          <w:sz w:val="22"/>
          <w:szCs w:val="22"/>
          <w:rtl/>
        </w:rPr>
        <w:tab/>
      </w:r>
      <w:r>
        <w:rPr>
          <w:rFonts w:cs="David" w:hint="cs"/>
          <w:b/>
          <w:bCs/>
          <w:sz w:val="22"/>
          <w:szCs w:val="22"/>
          <w:rtl/>
        </w:rPr>
        <w:tab/>
      </w:r>
      <w:r>
        <w:rPr>
          <w:rFonts w:cs="David" w:hint="cs"/>
          <w:b/>
          <w:bCs/>
          <w:sz w:val="22"/>
          <w:szCs w:val="22"/>
          <w:rtl/>
        </w:rPr>
        <w:tab/>
      </w:r>
      <w:r>
        <w:rPr>
          <w:rFonts w:cs="David" w:hint="cs"/>
          <w:b/>
          <w:bCs/>
          <w:sz w:val="22"/>
          <w:szCs w:val="22"/>
          <w:rtl/>
        </w:rPr>
        <w:tab/>
      </w:r>
      <w:r>
        <w:rPr>
          <w:rFonts w:cs="David" w:hint="cs"/>
          <w:b/>
          <w:bCs/>
          <w:sz w:val="22"/>
          <w:szCs w:val="22"/>
          <w:rtl/>
        </w:rPr>
        <w:tab/>
      </w:r>
      <w:r>
        <w:rPr>
          <w:rFonts w:cs="David" w:hint="cs"/>
          <w:b/>
          <w:bCs/>
          <w:sz w:val="22"/>
          <w:szCs w:val="22"/>
          <w:rtl/>
        </w:rPr>
        <w:tab/>
      </w:r>
      <w:r>
        <w:rPr>
          <w:rFonts w:cs="David" w:hint="cs"/>
          <w:b/>
          <w:bCs/>
          <w:sz w:val="26"/>
          <w:rtl/>
        </w:rPr>
        <w:tab/>
      </w:r>
      <w:r>
        <w:rPr>
          <w:rFonts w:cs="David" w:hint="cs"/>
          <w:b/>
          <w:bCs/>
          <w:sz w:val="26"/>
          <w:rtl/>
        </w:rPr>
        <w:tab/>
        <w:t xml:space="preserve">       אורי שאבי, עו"ד</w:t>
      </w:r>
    </w:p>
    <w:p w:rsidR="00445D4A" w:rsidRDefault="00445D4A" w:rsidP="00445D4A">
      <w:pPr>
        <w:ind w:left="720" w:hanging="720"/>
        <w:jc w:val="both"/>
        <w:rPr>
          <w:rFonts w:cs="David"/>
          <w:b/>
          <w:bCs/>
          <w:rtl/>
        </w:rPr>
      </w:pPr>
      <w:r>
        <w:rPr>
          <w:rFonts w:cs="David" w:hint="cs"/>
          <w:b/>
          <w:bCs/>
          <w:sz w:val="26"/>
          <w:rtl/>
        </w:rPr>
        <w:tab/>
      </w:r>
      <w:r>
        <w:rPr>
          <w:rFonts w:cs="David" w:hint="cs"/>
          <w:b/>
          <w:bCs/>
          <w:sz w:val="26"/>
          <w:rtl/>
        </w:rPr>
        <w:tab/>
      </w:r>
      <w:r>
        <w:rPr>
          <w:rFonts w:cs="David" w:hint="cs"/>
          <w:b/>
          <w:bCs/>
          <w:sz w:val="26"/>
          <w:rtl/>
        </w:rPr>
        <w:tab/>
      </w:r>
      <w:r>
        <w:rPr>
          <w:rFonts w:cs="David" w:hint="cs"/>
          <w:b/>
          <w:bCs/>
          <w:sz w:val="26"/>
          <w:rtl/>
        </w:rPr>
        <w:tab/>
      </w:r>
      <w:r>
        <w:rPr>
          <w:rFonts w:cs="David" w:hint="cs"/>
          <w:b/>
          <w:bCs/>
          <w:sz w:val="26"/>
          <w:rtl/>
        </w:rPr>
        <w:tab/>
      </w:r>
      <w:r>
        <w:rPr>
          <w:rFonts w:cs="David" w:hint="cs"/>
          <w:b/>
          <w:bCs/>
          <w:sz w:val="26"/>
          <w:rtl/>
        </w:rPr>
        <w:tab/>
      </w:r>
      <w:r>
        <w:rPr>
          <w:rFonts w:cs="David" w:hint="cs"/>
          <w:b/>
          <w:bCs/>
          <w:sz w:val="26"/>
          <w:rtl/>
        </w:rPr>
        <w:tab/>
      </w:r>
      <w:r>
        <w:rPr>
          <w:rFonts w:cs="David" w:hint="cs"/>
          <w:b/>
          <w:bCs/>
          <w:sz w:val="26"/>
          <w:rtl/>
        </w:rPr>
        <w:tab/>
        <w:t xml:space="preserve">        בא-כוח הנתבעת</w:t>
      </w:r>
    </w:p>
    <w:p w:rsidR="00B50FDD" w:rsidRDefault="00B50FDD"/>
    <w:sectPr w:rsidR="00B50FDD" w:rsidSect="003F6E69">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309" w:rsidRDefault="00547309" w:rsidP="00A66673">
      <w:r>
        <w:separator/>
      </w:r>
    </w:p>
  </w:endnote>
  <w:endnote w:type="continuationSeparator" w:id="1">
    <w:p w:rsidR="00547309" w:rsidRDefault="00547309" w:rsidP="00A66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8138308"/>
      <w:docPartObj>
        <w:docPartGallery w:val="Page Numbers (Bottom of Page)"/>
        <w:docPartUnique/>
      </w:docPartObj>
    </w:sdtPr>
    <w:sdtEndPr>
      <w:rPr>
        <w:noProof/>
      </w:rPr>
    </w:sdtEndPr>
    <w:sdtContent>
      <w:p w:rsidR="00A17DC5" w:rsidRDefault="005A1177">
        <w:pPr>
          <w:pStyle w:val="a7"/>
          <w:jc w:val="center"/>
        </w:pPr>
        <w:fldSimple w:instr=" PAGE   \* MERGEFORMAT ">
          <w:r w:rsidR="007C501E">
            <w:rPr>
              <w:noProof/>
              <w:rtl/>
            </w:rPr>
            <w:t>6</w:t>
          </w:r>
        </w:fldSimple>
      </w:p>
    </w:sdtContent>
  </w:sdt>
  <w:p w:rsidR="00A17DC5" w:rsidRDefault="00A17DC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309" w:rsidRDefault="00547309" w:rsidP="00A66673">
      <w:r>
        <w:separator/>
      </w:r>
    </w:p>
  </w:footnote>
  <w:footnote w:type="continuationSeparator" w:id="1">
    <w:p w:rsidR="00547309" w:rsidRDefault="00547309" w:rsidP="00A66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68D"/>
    <w:multiLevelType w:val="hybridMultilevel"/>
    <w:tmpl w:val="F9B06D82"/>
    <w:lvl w:ilvl="0" w:tplc="A852EBE6">
      <w:start w:val="1"/>
      <w:numFmt w:val="decimal"/>
      <w:lvlText w:val="%1."/>
      <w:lvlJc w:val="left"/>
      <w:pPr>
        <w:ind w:left="720" w:hanging="360"/>
      </w:pPr>
      <w:rPr>
        <w:rFonts w:cs="Davi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032897"/>
    <w:multiLevelType w:val="hybridMultilevel"/>
    <w:tmpl w:val="C4A0E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3B64E5"/>
    <w:multiLevelType w:val="hybridMultilevel"/>
    <w:tmpl w:val="F0EE9180"/>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3">
    <w:nsid w:val="6FB77E69"/>
    <w:multiLevelType w:val="hybridMultilevel"/>
    <w:tmpl w:val="45D6A926"/>
    <w:lvl w:ilvl="0" w:tplc="9208D73C">
      <w:start w:val="1"/>
      <w:numFmt w:val="decimal"/>
      <w:lvlText w:val="%1."/>
      <w:lvlJc w:val="left"/>
      <w:pPr>
        <w:ind w:left="360" w:hanging="360"/>
      </w:pPr>
      <w:rPr>
        <w:b w:val="0"/>
        <w:bCs w:val="0"/>
        <w:sz w:val="24"/>
        <w:szCs w:val="24"/>
        <w:lang w:val="en-US"/>
      </w:rPr>
    </w:lvl>
    <w:lvl w:ilvl="1" w:tplc="1C487CFA">
      <w:start w:val="1"/>
      <w:numFmt w:val="hebrew1"/>
      <w:lvlText w:val="%2."/>
      <w:lvlJc w:val="left"/>
      <w:pPr>
        <w:ind w:left="1080" w:hanging="360"/>
      </w:pPr>
    </w:lvl>
    <w:lvl w:ilvl="2" w:tplc="1C487CFA">
      <w:start w:val="1"/>
      <w:numFmt w:val="hebrew1"/>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165136"/>
    <w:multiLevelType w:val="multilevel"/>
    <w:tmpl w:val="094282B4"/>
    <w:lvl w:ilvl="0">
      <w:start w:val="1"/>
      <w:numFmt w:val="decimal"/>
      <w:lvlText w:val="%1."/>
      <w:lvlJc w:val="right"/>
      <w:pPr>
        <w:tabs>
          <w:tab w:val="num" w:pos="737"/>
        </w:tabs>
        <w:spacing w:beforeLines="0" w:beforeAutospacing="0" w:afterLines="0" w:afterAutospacing="0"/>
        <w:ind w:left="737" w:right="737" w:hanging="567"/>
      </w:pPr>
      <w:rPr>
        <w:b w:val="0"/>
        <w:bCs w:val="0"/>
        <w:i w:val="0"/>
        <w:iCs w:val="0"/>
        <w:strike w:val="0"/>
        <w:dstrike w:val="0"/>
        <w:u w:val="none"/>
        <w:effect w:val="none"/>
      </w:rPr>
    </w:lvl>
    <w:lvl w:ilvl="1">
      <w:start w:val="1"/>
      <w:numFmt w:val="hebrew1"/>
      <w:lvlText w:val="%2."/>
      <w:lvlJc w:val="right"/>
      <w:pPr>
        <w:tabs>
          <w:tab w:val="num" w:pos="1418"/>
        </w:tabs>
        <w:spacing w:beforeLines="0" w:beforeAutospacing="0" w:afterLines="0" w:afterAutospacing="0"/>
        <w:ind w:left="1418" w:right="1418" w:hanging="511"/>
      </w:pPr>
    </w:lvl>
    <w:lvl w:ilvl="2">
      <w:start w:val="1"/>
      <w:numFmt w:val="decimal"/>
      <w:lvlText w:val="%3)"/>
      <w:lvlJc w:val="right"/>
      <w:pPr>
        <w:tabs>
          <w:tab w:val="num" w:pos="2155"/>
        </w:tabs>
        <w:spacing w:beforeLines="0" w:beforeAutospacing="0" w:afterLines="0" w:afterAutospacing="0"/>
        <w:ind w:left="2155" w:right="2155" w:hanging="567"/>
      </w:pPr>
    </w:lvl>
    <w:lvl w:ilvl="3">
      <w:start w:val="1"/>
      <w:numFmt w:val="upperRoman"/>
      <w:lvlText w:val="(%4)"/>
      <w:lvlJc w:val="right"/>
      <w:pPr>
        <w:tabs>
          <w:tab w:val="num" w:pos="2892"/>
        </w:tabs>
        <w:spacing w:beforeLines="0" w:beforeAutospacing="0" w:afterLines="0" w:afterAutospacing="0"/>
        <w:ind w:left="2892" w:right="2892" w:hanging="511"/>
      </w:pPr>
    </w:lvl>
    <w:lvl w:ilvl="4">
      <w:start w:val="1"/>
      <w:numFmt w:val="decimal"/>
      <w:lvlText w:val="(%5)"/>
      <w:lvlJc w:val="right"/>
      <w:pPr>
        <w:tabs>
          <w:tab w:val="num" w:pos="3629"/>
        </w:tabs>
        <w:spacing w:beforeLines="0" w:beforeAutospacing="0" w:afterLines="0" w:afterAutospacing="0"/>
        <w:ind w:left="3629" w:right="3629" w:hanging="567"/>
      </w:pPr>
    </w:lvl>
    <w:lvl w:ilvl="5">
      <w:start w:val="1"/>
      <w:numFmt w:val="cardinalText"/>
      <w:lvlText w:val="%6."/>
      <w:lvlJc w:val="right"/>
      <w:pPr>
        <w:tabs>
          <w:tab w:val="num" w:pos="0"/>
        </w:tabs>
        <w:spacing w:beforeLines="0" w:beforeAutospacing="0" w:afterLines="0" w:afterAutospacing="0"/>
        <w:ind w:left="3402" w:right="3402" w:hanging="567"/>
      </w:pPr>
    </w:lvl>
    <w:lvl w:ilvl="6">
      <w:start w:val="1"/>
      <w:numFmt w:val="cardinalText"/>
      <w:lvlText w:val="%7)"/>
      <w:lvlJc w:val="right"/>
      <w:pPr>
        <w:tabs>
          <w:tab w:val="num" w:pos="0"/>
        </w:tabs>
        <w:spacing w:beforeLines="0" w:beforeAutospacing="0" w:afterLines="0" w:afterAutospacing="0"/>
        <w:ind w:left="3969" w:right="3969" w:hanging="567"/>
      </w:pPr>
    </w:lvl>
    <w:lvl w:ilvl="7">
      <w:start w:val="1"/>
      <w:numFmt w:val="cardinalText"/>
      <w:lvlText w:val="(%8)"/>
      <w:lvlJc w:val="right"/>
      <w:pPr>
        <w:tabs>
          <w:tab w:val="num" w:pos="0"/>
        </w:tabs>
        <w:spacing w:beforeLines="0" w:beforeAutospacing="0" w:afterLines="0" w:afterAutospacing="0"/>
        <w:ind w:left="4536" w:right="4536" w:hanging="567"/>
      </w:pPr>
    </w:lvl>
    <w:lvl w:ilvl="8">
      <w:start w:val="1"/>
      <w:numFmt w:val="ordinal"/>
      <w:lvlText w:val="%9."/>
      <w:lvlJc w:val="right"/>
      <w:pPr>
        <w:tabs>
          <w:tab w:val="num" w:pos="0"/>
        </w:tabs>
        <w:spacing w:beforeLines="0" w:beforeAutospacing="0" w:afterLines="0" w:afterAutospacing="0"/>
        <w:ind w:left="5103" w:right="5103" w:hanging="567"/>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50FDD"/>
    <w:rsid w:val="00001C12"/>
    <w:rsid w:val="00002D5F"/>
    <w:rsid w:val="000537B5"/>
    <w:rsid w:val="000A1E6A"/>
    <w:rsid w:val="000F7DE8"/>
    <w:rsid w:val="001418C7"/>
    <w:rsid w:val="00156A05"/>
    <w:rsid w:val="00162E71"/>
    <w:rsid w:val="00172AB3"/>
    <w:rsid w:val="0018377D"/>
    <w:rsid w:val="001B6175"/>
    <w:rsid w:val="001E2ABF"/>
    <w:rsid w:val="002B4C60"/>
    <w:rsid w:val="003147F0"/>
    <w:rsid w:val="003522AD"/>
    <w:rsid w:val="003636AF"/>
    <w:rsid w:val="00387C5E"/>
    <w:rsid w:val="003F53F0"/>
    <w:rsid w:val="003F6E69"/>
    <w:rsid w:val="00411D08"/>
    <w:rsid w:val="00445D4A"/>
    <w:rsid w:val="0045377F"/>
    <w:rsid w:val="00473A07"/>
    <w:rsid w:val="004931C6"/>
    <w:rsid w:val="004A5206"/>
    <w:rsid w:val="004B3DA3"/>
    <w:rsid w:val="004D73B0"/>
    <w:rsid w:val="005441E0"/>
    <w:rsid w:val="00547309"/>
    <w:rsid w:val="00581A9A"/>
    <w:rsid w:val="005A1177"/>
    <w:rsid w:val="005C0EF6"/>
    <w:rsid w:val="006171CB"/>
    <w:rsid w:val="00621CB4"/>
    <w:rsid w:val="00693A0F"/>
    <w:rsid w:val="006A04E5"/>
    <w:rsid w:val="006A7F9B"/>
    <w:rsid w:val="006D5205"/>
    <w:rsid w:val="00701231"/>
    <w:rsid w:val="007261E1"/>
    <w:rsid w:val="00743947"/>
    <w:rsid w:val="007C3765"/>
    <w:rsid w:val="007C434F"/>
    <w:rsid w:val="007C501E"/>
    <w:rsid w:val="007C7A9A"/>
    <w:rsid w:val="00803CCE"/>
    <w:rsid w:val="0082745E"/>
    <w:rsid w:val="008332C6"/>
    <w:rsid w:val="0086233E"/>
    <w:rsid w:val="008D6B66"/>
    <w:rsid w:val="008F178F"/>
    <w:rsid w:val="00904FF1"/>
    <w:rsid w:val="009129CB"/>
    <w:rsid w:val="00921583"/>
    <w:rsid w:val="00946BFE"/>
    <w:rsid w:val="00952268"/>
    <w:rsid w:val="00964F10"/>
    <w:rsid w:val="00970513"/>
    <w:rsid w:val="009A6351"/>
    <w:rsid w:val="009C0ADC"/>
    <w:rsid w:val="00A16D11"/>
    <w:rsid w:val="00A17DC5"/>
    <w:rsid w:val="00A66673"/>
    <w:rsid w:val="00B07A06"/>
    <w:rsid w:val="00B1472D"/>
    <w:rsid w:val="00B37EE9"/>
    <w:rsid w:val="00B41803"/>
    <w:rsid w:val="00B50FDD"/>
    <w:rsid w:val="00BA27CE"/>
    <w:rsid w:val="00BA6062"/>
    <w:rsid w:val="00BA69E8"/>
    <w:rsid w:val="00BC607E"/>
    <w:rsid w:val="00C166BD"/>
    <w:rsid w:val="00C16CA1"/>
    <w:rsid w:val="00C41C66"/>
    <w:rsid w:val="00CD2A78"/>
    <w:rsid w:val="00CD3859"/>
    <w:rsid w:val="00CD6278"/>
    <w:rsid w:val="00D01644"/>
    <w:rsid w:val="00D065BF"/>
    <w:rsid w:val="00D3390B"/>
    <w:rsid w:val="00D6500B"/>
    <w:rsid w:val="00D762AA"/>
    <w:rsid w:val="00D76D5D"/>
    <w:rsid w:val="00D864E8"/>
    <w:rsid w:val="00DB151B"/>
    <w:rsid w:val="00DB734C"/>
    <w:rsid w:val="00DF5CFA"/>
    <w:rsid w:val="00EB087A"/>
    <w:rsid w:val="00EC36F3"/>
    <w:rsid w:val="00ED0735"/>
    <w:rsid w:val="00EF6C63"/>
    <w:rsid w:val="00F35DDC"/>
    <w:rsid w:val="00F66E30"/>
    <w:rsid w:val="00F920C6"/>
    <w:rsid w:val="00FA197A"/>
    <w:rsid w:val="00FD31F1"/>
    <w:rsid w:val="00FE667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69"/>
    <w:pPr>
      <w:bidi/>
      <w:spacing w:after="0" w:line="240" w:lineRule="auto"/>
    </w:pPr>
    <w:rPr>
      <w:rFonts w:ascii="Times New Roman" w:eastAsia="Times New Roman" w:hAnsi="Times New Roman" w:cs="Times New Roman"/>
      <w:sz w:val="24"/>
      <w:szCs w:val="24"/>
      <w:lang w:eastAsia="he-IL"/>
    </w:rPr>
  </w:style>
  <w:style w:type="paragraph" w:styleId="3">
    <w:name w:val="heading 3"/>
    <w:basedOn w:val="a"/>
    <w:next w:val="a"/>
    <w:link w:val="30"/>
    <w:semiHidden/>
    <w:unhideWhenUsed/>
    <w:qFormat/>
    <w:rsid w:val="003F6E69"/>
    <w:pPr>
      <w:keepNext/>
      <w:outlineLvl w:val="2"/>
    </w:pPr>
    <w:rPr>
      <w:b/>
      <w:bCs/>
      <w:u w:val="single"/>
    </w:rPr>
  </w:style>
  <w:style w:type="paragraph" w:styleId="4">
    <w:name w:val="heading 4"/>
    <w:basedOn w:val="a"/>
    <w:next w:val="a"/>
    <w:link w:val="40"/>
    <w:unhideWhenUsed/>
    <w:qFormat/>
    <w:rsid w:val="003F6E69"/>
    <w:pPr>
      <w:keepNext/>
      <w:spacing w:line="360" w:lineRule="auto"/>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semiHidden/>
    <w:rsid w:val="003F6E69"/>
    <w:rPr>
      <w:rFonts w:ascii="Times New Roman" w:eastAsia="Times New Roman" w:hAnsi="Times New Roman" w:cs="Times New Roman"/>
      <w:b/>
      <w:bCs/>
      <w:sz w:val="24"/>
      <w:szCs w:val="24"/>
      <w:u w:val="single"/>
      <w:lang w:eastAsia="he-IL"/>
    </w:rPr>
  </w:style>
  <w:style w:type="character" w:customStyle="1" w:styleId="40">
    <w:name w:val="כותרת 4 תו"/>
    <w:basedOn w:val="a0"/>
    <w:link w:val="4"/>
    <w:rsid w:val="003F6E69"/>
    <w:rPr>
      <w:rFonts w:ascii="Times New Roman" w:eastAsia="Times New Roman" w:hAnsi="Times New Roman" w:cs="Times New Roman"/>
      <w:b/>
      <w:bCs/>
      <w:sz w:val="24"/>
      <w:szCs w:val="24"/>
      <w:lang w:eastAsia="he-IL"/>
    </w:rPr>
  </w:style>
  <w:style w:type="paragraph" w:styleId="a3">
    <w:name w:val="List Paragraph"/>
    <w:basedOn w:val="a"/>
    <w:uiPriority w:val="34"/>
    <w:qFormat/>
    <w:rsid w:val="003F6E69"/>
    <w:pPr>
      <w:ind w:left="720"/>
      <w:contextualSpacing/>
    </w:pPr>
  </w:style>
  <w:style w:type="character" w:styleId="Hyperlink">
    <w:name w:val="Hyperlink"/>
    <w:rsid w:val="00DB151B"/>
    <w:rPr>
      <w:color w:val="0000FF"/>
      <w:u w:val="single"/>
    </w:rPr>
  </w:style>
  <w:style w:type="character" w:styleId="a4">
    <w:name w:val="Placeholder Text"/>
    <w:rsid w:val="00DB151B"/>
    <w:rPr>
      <w:color w:val="808080"/>
    </w:rPr>
  </w:style>
  <w:style w:type="paragraph" w:styleId="a5">
    <w:name w:val="header"/>
    <w:basedOn w:val="a"/>
    <w:link w:val="a6"/>
    <w:uiPriority w:val="99"/>
    <w:unhideWhenUsed/>
    <w:rsid w:val="00A66673"/>
    <w:pPr>
      <w:tabs>
        <w:tab w:val="center" w:pos="4153"/>
        <w:tab w:val="right" w:pos="8306"/>
      </w:tabs>
    </w:pPr>
  </w:style>
  <w:style w:type="character" w:customStyle="1" w:styleId="a6">
    <w:name w:val="כותרת עליונה תו"/>
    <w:basedOn w:val="a0"/>
    <w:link w:val="a5"/>
    <w:uiPriority w:val="99"/>
    <w:rsid w:val="00A66673"/>
    <w:rPr>
      <w:rFonts w:ascii="Times New Roman" w:eastAsia="Times New Roman" w:hAnsi="Times New Roman" w:cs="Times New Roman"/>
      <w:sz w:val="24"/>
      <w:szCs w:val="24"/>
      <w:lang w:eastAsia="he-IL"/>
    </w:rPr>
  </w:style>
  <w:style w:type="paragraph" w:styleId="a7">
    <w:name w:val="footer"/>
    <w:basedOn w:val="a"/>
    <w:link w:val="a8"/>
    <w:uiPriority w:val="99"/>
    <w:unhideWhenUsed/>
    <w:rsid w:val="00A66673"/>
    <w:pPr>
      <w:tabs>
        <w:tab w:val="center" w:pos="4153"/>
        <w:tab w:val="right" w:pos="8306"/>
      </w:tabs>
    </w:pPr>
  </w:style>
  <w:style w:type="character" w:customStyle="1" w:styleId="a8">
    <w:name w:val="כותרת תחתונה תו"/>
    <w:basedOn w:val="a0"/>
    <w:link w:val="a7"/>
    <w:uiPriority w:val="99"/>
    <w:rsid w:val="00A66673"/>
    <w:rPr>
      <w:rFonts w:ascii="Times New Roman" w:eastAsia="Times New Roman" w:hAnsi="Times New Roman" w:cs="Times New Roman"/>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0" w:line="240" w:lineRule="auto"/>
    </w:pPr>
    <w:rPr>
      <w:rFonts w:ascii="Times New Roman" w:eastAsia="Times New Roman" w:hAnsi="Times New Roman" w:cs="Times New Roman"/>
      <w:sz w:val="24"/>
      <w:szCs w:val="24"/>
      <w:lang w:eastAsia="he-IL"/>
    </w:rPr>
  </w:style>
  <w:style w:type="paragraph" w:styleId="Heading3">
    <w:name w:val="heading 3"/>
    <w:basedOn w:val="Normal"/>
    <w:next w:val="Normal"/>
    <w:link w:val="Heading3Char"/>
    <w:semiHidden/>
    <w:unhideWhenUsed/>
    <w:qFormat/>
    <w:pPr>
      <w:keepNext/>
      <w:outlineLvl w:val="2"/>
    </w:pPr>
    <w:rPr>
      <w:b/>
      <w:bCs/>
      <w:u w:val="single"/>
    </w:rPr>
  </w:style>
  <w:style w:type="paragraph" w:styleId="Heading4">
    <w:name w:val="heading 4"/>
    <w:basedOn w:val="Normal"/>
    <w:next w:val="Normal"/>
    <w:link w:val="Heading4Char"/>
    <w:unhideWhenUsed/>
    <w:qFormat/>
    <w:pPr>
      <w:keepNext/>
      <w:spacing w:line="360"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Pr>
      <w:rFonts w:ascii="Times New Roman" w:eastAsia="Times New Roman" w:hAnsi="Times New Roman" w:cs="Times New Roman"/>
      <w:b/>
      <w:bCs/>
      <w:sz w:val="24"/>
      <w:szCs w:val="24"/>
      <w:u w:val="single"/>
      <w:lang w:eastAsia="he-IL"/>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lang w:eastAsia="he-IL"/>
    </w:rPr>
  </w:style>
  <w:style w:type="paragraph" w:styleId="ListParagraph">
    <w:name w:val="List Paragraph"/>
    <w:basedOn w:val="Normal"/>
    <w:uiPriority w:val="34"/>
    <w:qFormat/>
    <w:pPr>
      <w:ind w:left="720"/>
      <w:contextualSpacing/>
    </w:pPr>
  </w:style>
  <w:style w:type="character" w:styleId="Hyperlink">
    <w:name w:val="Hyperlink"/>
    <w:rsid w:val="00DB151B"/>
    <w:rPr>
      <w:color w:val="0000FF"/>
      <w:u w:val="single"/>
    </w:rPr>
  </w:style>
  <w:style w:type="character" w:styleId="PlaceholderText">
    <w:name w:val="Placeholder Text"/>
    <w:rsid w:val="00DB151B"/>
    <w:rPr>
      <w:color w:val="808080"/>
    </w:rPr>
  </w:style>
  <w:style w:type="paragraph" w:styleId="Header">
    <w:name w:val="header"/>
    <w:basedOn w:val="Normal"/>
    <w:link w:val="HeaderChar"/>
    <w:uiPriority w:val="99"/>
    <w:unhideWhenUsed/>
    <w:rsid w:val="00A66673"/>
    <w:pPr>
      <w:tabs>
        <w:tab w:val="center" w:pos="4153"/>
        <w:tab w:val="right" w:pos="8306"/>
      </w:tabs>
    </w:pPr>
  </w:style>
  <w:style w:type="character" w:customStyle="1" w:styleId="HeaderChar">
    <w:name w:val="Header Char"/>
    <w:basedOn w:val="DefaultParagraphFont"/>
    <w:link w:val="Header"/>
    <w:uiPriority w:val="99"/>
    <w:rsid w:val="00A66673"/>
    <w:rPr>
      <w:rFonts w:ascii="Times New Roman" w:eastAsia="Times New Roman" w:hAnsi="Times New Roman" w:cs="Times New Roman"/>
      <w:sz w:val="24"/>
      <w:szCs w:val="24"/>
      <w:lang w:eastAsia="he-IL"/>
    </w:rPr>
  </w:style>
  <w:style w:type="paragraph" w:styleId="Footer">
    <w:name w:val="footer"/>
    <w:basedOn w:val="Normal"/>
    <w:link w:val="FooterChar"/>
    <w:uiPriority w:val="99"/>
    <w:unhideWhenUsed/>
    <w:rsid w:val="00A66673"/>
    <w:pPr>
      <w:tabs>
        <w:tab w:val="center" w:pos="4153"/>
        <w:tab w:val="right" w:pos="8306"/>
      </w:tabs>
    </w:pPr>
  </w:style>
  <w:style w:type="character" w:customStyle="1" w:styleId="FooterChar">
    <w:name w:val="Footer Char"/>
    <w:basedOn w:val="DefaultParagraphFont"/>
    <w:link w:val="Footer"/>
    <w:uiPriority w:val="99"/>
    <w:rsid w:val="00A66673"/>
    <w:rPr>
      <w:rFonts w:ascii="Times New Roman" w:eastAsia="Times New Roman" w:hAnsi="Times New Roman" w:cs="Times New Roman"/>
      <w:sz w:val="24"/>
      <w:szCs w:val="24"/>
      <w:lang w:eastAsia="he-IL"/>
    </w:rPr>
  </w:style>
</w:styles>
</file>

<file path=word/webSettings.xml><?xml version="1.0" encoding="utf-8"?>
<w:webSettings xmlns:r="http://schemas.openxmlformats.org/officeDocument/2006/relationships" xmlns:w="http://schemas.openxmlformats.org/wordprocessingml/2006/main">
  <w:divs>
    <w:div w:id="444889074">
      <w:bodyDiv w:val="1"/>
      <w:marLeft w:val="0"/>
      <w:marRight w:val="0"/>
      <w:marTop w:val="0"/>
      <w:marBottom w:val="0"/>
      <w:divBdr>
        <w:top w:val="none" w:sz="0" w:space="0" w:color="auto"/>
        <w:left w:val="none" w:sz="0" w:space="0" w:color="auto"/>
        <w:bottom w:val="none" w:sz="0" w:space="0" w:color="auto"/>
        <w:right w:val="none" w:sz="0" w:space="0" w:color="auto"/>
      </w:divBdr>
    </w:div>
    <w:div w:id="18050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48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vo.co.il/law/74880/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evo.co.il/case/20316699" TargetMode="External"/><Relationship Id="rId4" Type="http://schemas.openxmlformats.org/officeDocument/2006/relationships/webSettings" Target="webSettings.xml"/><Relationship Id="rId9" Type="http://schemas.openxmlformats.org/officeDocument/2006/relationships/hyperlink" Target="http://www.nevo.co.il/case/20124754" TargetMode="External"/><Relationship Id="rId1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1439</Words>
  <Characters>7195</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אורי</dc:creator>
  <cp:lastModifiedBy>ori</cp:lastModifiedBy>
  <cp:revision>4</cp:revision>
  <cp:lastPrinted>2018-12-06T08:00:00Z</cp:lastPrinted>
  <dcterms:created xsi:type="dcterms:W3CDTF">2019-03-20T13:22:00Z</dcterms:created>
  <dcterms:modified xsi:type="dcterms:W3CDTF">2019-12-05T21:26:00Z</dcterms:modified>
</cp:coreProperties>
</file>